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F3052" w14:textId="77777777" w:rsidR="007E003F" w:rsidRDefault="00E877AB">
      <w:pPr>
        <w:spacing w:line="480" w:lineRule="auto"/>
        <w:jc w:val="center"/>
        <w:rPr>
          <w:b/>
          <w:bCs/>
          <w:sz w:val="32"/>
          <w:szCs w:val="32"/>
        </w:rPr>
      </w:pPr>
      <w:r>
        <w:rPr>
          <w:b/>
          <w:bCs/>
          <w:sz w:val="32"/>
          <w:szCs w:val="32"/>
        </w:rPr>
        <w:t>Mission-Embeddedness and Financial Independence in Dance Nonprofits</w:t>
      </w:r>
    </w:p>
    <w:p w14:paraId="434342FD" w14:textId="222D9ED9" w:rsidR="00106DDC" w:rsidRDefault="00106DDC" w:rsidP="00106DDC">
      <w:pPr>
        <w:ind w:left="720"/>
        <w:jc w:val="center"/>
      </w:pPr>
      <w:r w:rsidRPr="00761C6B">
        <w:t>Laila Gozzi</w:t>
      </w:r>
      <w:r>
        <w:t xml:space="preserve">, ORCID </w:t>
      </w:r>
      <w:r w:rsidRPr="00106DDC">
        <w:t>0009-0000-4095-6777</w:t>
      </w:r>
      <w:r w:rsidRPr="00761C6B">
        <w:rPr>
          <w:vertAlign w:val="superscript"/>
        </w:rPr>
        <w:br/>
      </w:r>
      <w:r>
        <w:t xml:space="preserve">Independent Researcher, </w:t>
      </w:r>
      <w:r w:rsidRPr="00761C6B">
        <w:t>Netherlands</w:t>
      </w:r>
    </w:p>
    <w:p w14:paraId="1DC858DA" w14:textId="77777777" w:rsidR="00106DDC" w:rsidRPr="00761C6B" w:rsidRDefault="00106DDC" w:rsidP="00106DDC">
      <w:pPr>
        <w:ind w:left="720"/>
        <w:jc w:val="center"/>
      </w:pPr>
    </w:p>
    <w:p w14:paraId="066DBAFB" w14:textId="604FFBDB" w:rsidR="00106DDC" w:rsidRDefault="00106DDC" w:rsidP="00106DDC">
      <w:pPr>
        <w:ind w:left="720"/>
        <w:jc w:val="center"/>
      </w:pPr>
      <w:r w:rsidRPr="00761C6B">
        <w:t>Jamie Levine Daniel</w:t>
      </w:r>
      <w:r w:rsidR="00350A36">
        <w:rPr>
          <w:rStyle w:val="FootnoteReference"/>
        </w:rPr>
        <w:footnoteReference w:id="1"/>
      </w:r>
      <w:r>
        <w:t xml:space="preserve">, ORCID </w:t>
      </w:r>
      <w:r w:rsidRPr="00106DDC">
        <w:t>0000-0003-4009-0437</w:t>
      </w:r>
      <w:r w:rsidRPr="00761C6B">
        <w:rPr>
          <w:vertAlign w:val="superscript"/>
        </w:rPr>
        <w:br/>
      </w:r>
      <w:r w:rsidRPr="00761C6B">
        <w:t>New York University, USA</w:t>
      </w:r>
    </w:p>
    <w:p w14:paraId="2A05F438" w14:textId="77777777" w:rsidR="00106DDC" w:rsidRPr="00761C6B" w:rsidRDefault="00106DDC" w:rsidP="00106DDC">
      <w:pPr>
        <w:ind w:left="720"/>
        <w:jc w:val="center"/>
      </w:pPr>
    </w:p>
    <w:p w14:paraId="3AAAE535" w14:textId="677E662D" w:rsidR="00106DDC" w:rsidRPr="00761C6B" w:rsidRDefault="00106DDC" w:rsidP="00106DDC">
      <w:pPr>
        <w:ind w:left="720"/>
        <w:jc w:val="center"/>
        <w:rPr>
          <w:vertAlign w:val="superscript"/>
        </w:rPr>
      </w:pPr>
      <w:r>
        <w:t xml:space="preserve">Ellen Loots, ORCID </w:t>
      </w:r>
      <w:r w:rsidRPr="00106DDC">
        <w:t>0000-0003-1317-1477</w:t>
      </w:r>
      <w:r w:rsidRPr="00761C6B">
        <w:rPr>
          <w:vertAlign w:val="superscript"/>
        </w:rPr>
        <w:br/>
      </w:r>
      <w:r w:rsidRPr="00761C6B">
        <w:t xml:space="preserve">Erasmus University Rotterdam, </w:t>
      </w:r>
      <w:r>
        <w:t>Netherlands</w:t>
      </w:r>
    </w:p>
    <w:p w14:paraId="02CDC084" w14:textId="77777777" w:rsidR="007E003F" w:rsidRDefault="007E003F">
      <w:pPr>
        <w:jc w:val="center"/>
        <w:rPr>
          <w:b/>
          <w:bCs/>
          <w:sz w:val="26"/>
          <w:szCs w:val="26"/>
        </w:rPr>
      </w:pPr>
    </w:p>
    <w:p w14:paraId="2A5F2BD8" w14:textId="6DE21345" w:rsidR="007E003F" w:rsidRDefault="00E877AB">
      <w:pPr>
        <w:spacing w:line="480" w:lineRule="auto"/>
        <w:rPr>
          <w:b/>
          <w:bCs/>
          <w:sz w:val="30"/>
          <w:szCs w:val="30"/>
        </w:rPr>
      </w:pPr>
      <w:r>
        <w:rPr>
          <w:b/>
          <w:bCs/>
          <w:sz w:val="30"/>
          <w:szCs w:val="30"/>
        </w:rPr>
        <w:t xml:space="preserve">Abstract </w:t>
      </w:r>
    </w:p>
    <w:p w14:paraId="2021D78A" w14:textId="47BEA967" w:rsidR="007E003F" w:rsidRDefault="00E877AB">
      <w:bookmarkStart w:id="0" w:name="_heading=h.gdsyrk4nbf7z" w:colFirst="0" w:colLast="0"/>
      <w:bookmarkEnd w:id="0"/>
      <w:r>
        <w:t xml:space="preserve">Governments are increasingly reducing funding for (arts) nonprofits or attaching conditions to access public support. Consequently, arts nonprofits seek to advance their artistic and social missions while increasing financial independence. The literature is divided on whether these objectives complement or substitute for each other. We analyse this relationship using an earned revenue embeddedness framework that assesses earned income activities based on their connection to an organisation’s core mission. Using data from 100 financial statements of 24 Dutch dance nonprofits, we examine the relationship between earned revenue embeddedness and financial independence from government grants. We find that the level of earned revenue embeddedness matters: higher levels of embeddedness have a positive impact on financial independence, implying that mission and money are mutually reinforcing. Commercial activities embedded within the mission strengthen both organisations’ missions and financial independence. We introduce three real-world indicators of financial independence that capture subtle distinctions </w:t>
      </w:r>
      <w:r w:rsidR="001C0456">
        <w:t>of</w:t>
      </w:r>
      <w:r>
        <w:t xml:space="preserve"> commonly used measures.</w:t>
      </w:r>
    </w:p>
    <w:p w14:paraId="4D5679FC" w14:textId="6A57815B" w:rsidR="007E003F" w:rsidRDefault="007E003F">
      <w:pPr>
        <w:spacing w:line="480" w:lineRule="auto"/>
      </w:pPr>
    </w:p>
    <w:p w14:paraId="3FC4F491" w14:textId="77777777" w:rsidR="00106DDC" w:rsidRPr="00761C6B" w:rsidRDefault="00106DDC" w:rsidP="00106DDC">
      <w:pPr>
        <w:rPr>
          <w:b/>
        </w:rPr>
      </w:pPr>
      <w:r w:rsidRPr="00761C6B">
        <w:rPr>
          <w:b/>
        </w:rPr>
        <w:t>Key words/short phrases:</w:t>
      </w:r>
    </w:p>
    <w:p w14:paraId="01E73A18" w14:textId="77777777" w:rsidR="00106DDC" w:rsidRPr="00761C6B" w:rsidRDefault="00106DDC" w:rsidP="00106DDC">
      <w:r w:rsidRPr="00761C6B">
        <w:t>Nonprofit finance, earned revenue</w:t>
      </w:r>
      <w:r>
        <w:t>,</w:t>
      </w:r>
      <w:r w:rsidRPr="00761C6B">
        <w:t xml:space="preserve"> revenue diversification</w:t>
      </w:r>
      <w:r>
        <w:t>, arts, dance</w:t>
      </w:r>
    </w:p>
    <w:p w14:paraId="1EAC4EE9" w14:textId="77777777" w:rsidR="00106DDC" w:rsidRPr="00761C6B" w:rsidRDefault="00106DDC" w:rsidP="00106DDC"/>
    <w:p w14:paraId="535C1038" w14:textId="2EFA335F" w:rsidR="00106DDC" w:rsidRPr="00A805A4" w:rsidRDefault="00106DDC" w:rsidP="00A805A4">
      <w:pPr>
        <w:ind w:left="720" w:hanging="720"/>
        <w:rPr>
          <w:bCs/>
        </w:rPr>
      </w:pPr>
      <w:r w:rsidRPr="00761C6B">
        <w:rPr>
          <w:b/>
        </w:rPr>
        <w:t xml:space="preserve">Word count: </w:t>
      </w:r>
      <w:r w:rsidR="00A805A4">
        <w:rPr>
          <w:bCs/>
        </w:rPr>
        <w:t>8857</w:t>
      </w:r>
    </w:p>
    <w:p w14:paraId="3A0A7F5D" w14:textId="77777777" w:rsidR="00106DDC" w:rsidRDefault="00106DDC">
      <w:pPr>
        <w:spacing w:line="480" w:lineRule="auto"/>
      </w:pPr>
    </w:p>
    <w:p w14:paraId="5E9CD33C" w14:textId="77777777" w:rsidR="00106DDC" w:rsidRDefault="00106DDC">
      <w:pPr>
        <w:rPr>
          <w:b/>
          <w:bCs/>
          <w:sz w:val="30"/>
          <w:szCs w:val="30"/>
        </w:rPr>
      </w:pPr>
      <w:r>
        <w:rPr>
          <w:b/>
          <w:bCs/>
          <w:sz w:val="30"/>
          <w:szCs w:val="30"/>
        </w:rPr>
        <w:br w:type="page"/>
      </w:r>
    </w:p>
    <w:p w14:paraId="0992A2E0" w14:textId="7BA0B06A" w:rsidR="007E003F" w:rsidRDefault="00E877AB">
      <w:pPr>
        <w:spacing w:line="480" w:lineRule="auto"/>
        <w:rPr>
          <w:b/>
          <w:bCs/>
          <w:sz w:val="30"/>
          <w:szCs w:val="30"/>
        </w:rPr>
      </w:pPr>
      <w:r>
        <w:rPr>
          <w:b/>
          <w:bCs/>
          <w:sz w:val="30"/>
          <w:szCs w:val="30"/>
        </w:rPr>
        <w:lastRenderedPageBreak/>
        <w:t>Introduction</w:t>
      </w:r>
    </w:p>
    <w:p w14:paraId="597F152F" w14:textId="77777777" w:rsidR="007E003F" w:rsidRDefault="00E877AB">
      <w:pPr>
        <w:spacing w:before="240" w:after="240" w:line="480" w:lineRule="auto"/>
      </w:pPr>
      <w:r>
        <w:t>Arts nonprofits have a long-standing tradition of receiving lump-sum grants to cover the shortfall between revenues and operating costs (Throsby &amp; Withers, 1979), but the level of government support has been shrinking. This shift in government funding coincided with increasing challenges in obtaining private donations (McKeever &amp; Pettijohn, 2014). Earned income (EI: exclusively generated through market-based activities) is one source of funding that could make up shortfalls. However, simply increasing EI activities does not guarantee more financial sustainability, particularly in challenging funding environments (McClish &amp; Reeve, 2018). Consequently, arts nonprofits have increasingly tried to combine their artistic and social missions with the financial objective of becoming more financially independent from public contributions through EI activities (Alter, 2007; Doherty et al., 2014).</w:t>
      </w:r>
    </w:p>
    <w:p w14:paraId="7B5C938C" w14:textId="7875A5A3" w:rsidR="007E003F" w:rsidRDefault="00E877AB">
      <w:pPr>
        <w:spacing w:before="240" w:after="240" w:line="480" w:lineRule="auto"/>
        <w:ind w:firstLine="720"/>
      </w:pPr>
      <w:r>
        <w:t xml:space="preserve">Some scholars argue that nonprofits should align revenue activities with the organisation’s core mission (Foster &amp; Bradach, 2005; Mas-Machuca et al., 2023). Others argue that commercial operations are extraneous to the core mission, emphasizing the incompatibility between organisations’ missions and financial goals (Pache &amp; Santos, 2013; Eikenberry &amp; Kluver, 2004), and warning that an </w:t>
      </w:r>
      <w:r>
        <w:rPr>
          <w:highlight w:val="white"/>
        </w:rPr>
        <w:t>over-reliance on commercial revenue can threaten organisations’ mere survival because of market risks and legitimacy losses (Gras &amp; Mendoza-Abarca, 2014).</w:t>
      </w:r>
      <w:r>
        <w:t xml:space="preserve"> Furthermore, some arts practitioners feel that satisfying their financial objective can lead to mission drift (Ko &amp; Liu, 2020). </w:t>
      </w:r>
    </w:p>
    <w:p w14:paraId="29955C25" w14:textId="68CA28DB" w:rsidR="007E003F" w:rsidRDefault="00E877AB">
      <w:pPr>
        <w:spacing w:before="240" w:after="240" w:line="480" w:lineRule="auto"/>
        <w:ind w:firstLine="720"/>
      </w:pPr>
      <w:r>
        <w:t>The earned revenue embeddedness framework (Levine Daniel &amp; Kim, 2018; Levine Daniel, 2021) disaggregates earned revenue activities according to the varying extent of their connection to the core mission, rather than treating them as a single aggregate category (e.g., Boyle, 2007; Van der Heijden, 2013</w:t>
      </w:r>
      <w:r w:rsidR="001C0456">
        <w:t>) and</w:t>
      </w:r>
      <w:r>
        <w:t xml:space="preserve"> shows how this variation shapes both mission-driven and financial outcomes. Through the implementation of this framework, we address </w:t>
      </w:r>
      <w:r>
        <w:lastRenderedPageBreak/>
        <w:t xml:space="preserve">the question: what is the relationship between the level of earned revenue embeddedness and financial independence for arts nonprofits? To answer this question, we analyse 100 financial statements of 24 Dutch dance nonprofits using mixed-effects regression models. Our study shows that money and mission are intertwined and can be mutually reinforcing. Specifically, the level of EI’s embeddedness within the mission, i.e. mission-embeddedness, matters, as different levels of embeddedness have different impacts on financial independence. Furthermore, higher levels of embeddedness correspond to greater financial independence. We demonstrate a theoretical relationship between earned revenue embeddedness and financial independence that can be empirically tested and applied to other nonprofit (arts) contexts.  </w:t>
      </w:r>
    </w:p>
    <w:p w14:paraId="61FCBBB3" w14:textId="77777777" w:rsidR="007E003F" w:rsidRDefault="00E877AB">
      <w:pPr>
        <w:spacing w:before="240" w:after="240" w:line="480" w:lineRule="auto"/>
      </w:pPr>
      <w:r>
        <w:rPr>
          <w:b/>
          <w:bCs/>
          <w:sz w:val="30"/>
          <w:szCs w:val="30"/>
        </w:rPr>
        <w:t>Literature review </w:t>
      </w:r>
    </w:p>
    <w:p w14:paraId="37B9AE13" w14:textId="77777777" w:rsidR="007E003F" w:rsidRDefault="00E877AB">
      <w:pPr>
        <w:spacing w:line="480" w:lineRule="auto"/>
        <w:rPr>
          <w:highlight w:val="white"/>
        </w:rPr>
      </w:pPr>
      <w:r>
        <w:rPr>
          <w:b/>
          <w:bCs/>
          <w:highlight w:val="white"/>
        </w:rPr>
        <w:t>Nonprofits and revenue diversification</w:t>
      </w:r>
    </w:p>
    <w:p w14:paraId="6957E5E4" w14:textId="5DBE0B71" w:rsidR="007E003F" w:rsidRDefault="00E877AB">
      <w:pPr>
        <w:spacing w:line="480" w:lineRule="auto"/>
        <w:rPr>
          <w:highlight w:val="white"/>
        </w:rPr>
      </w:pPr>
      <w:r>
        <w:rPr>
          <w:highlight w:val="white"/>
        </w:rPr>
        <w:t xml:space="preserve">Nonprofit arts organisations appear to be highly sensitive to changes in the overall economy (Clubb, 1987). Revenue diversification may help organisations weather these changes. Revenue diversification refers to having multiple revenue sources in a financial portfolio. Tuckman and Chang (1994, p.288) suggest that “nonprofits with multiple revenue sources are more likely to have a strong financial position than are those with concentrated revenue sources.” In their meta-analysis of 40 studies exploring 296 statistical effects, Hung and Hager (2018) find revenue diversification can contribute to an organisation’s financial health. </w:t>
      </w:r>
    </w:p>
    <w:p w14:paraId="6C1B579B" w14:textId="77777777" w:rsidR="007E003F" w:rsidRDefault="00E877AB">
      <w:pPr>
        <w:spacing w:line="480" w:lineRule="auto"/>
        <w:ind w:firstLine="720"/>
        <w:rPr>
          <w:highlight w:val="white"/>
        </w:rPr>
      </w:pPr>
      <w:r>
        <w:rPr>
          <w:highlight w:val="white"/>
        </w:rPr>
        <w:t>However, diversifying revenues can come with its own costs (Hughes, 2024) and higher operational inefficiencies that turn off potential donors (</w:t>
      </w:r>
      <w:r>
        <w:t>Sacristán López de los Mozos et al., 2016</w:t>
      </w:r>
      <w:r>
        <w:rPr>
          <w:highlight w:val="white"/>
        </w:rPr>
        <w:t xml:space="preserve">). In addition, new income activities may not grow at a rate fast enough to make up for losses from other sources (Hughes, 2024). An over-reliance on commercial revenue can expose organisations to market risks, legitimacy losses, and survival threats (Gras &amp; </w:t>
      </w:r>
      <w:r>
        <w:rPr>
          <w:highlight w:val="white"/>
        </w:rPr>
        <w:lastRenderedPageBreak/>
        <w:t>Mendoza-Abarca, 2014). Also, many arts nonprofits fail to produce sufficient internal resources to meet their expenses, even with high ticket sales (Smith, 2003). They are labour-intensive with nearly static productivity, causing labour costs per unit to rise over time and creating a persistent revenue gap that governments have historically subsidized (Baumol &amp; Bowen, 1966</w:t>
      </w:r>
      <w:r>
        <w:t xml:space="preserve">; </w:t>
      </w:r>
      <w:r>
        <w:rPr>
          <w:highlight w:val="white"/>
        </w:rPr>
        <w:t xml:space="preserve">Felton, 1994; Fernández-Blanco et al., 2018). </w:t>
      </w:r>
    </w:p>
    <w:p w14:paraId="6FFCD835" w14:textId="77777777" w:rsidR="007E003F" w:rsidRDefault="007E003F">
      <w:pPr>
        <w:spacing w:line="480" w:lineRule="auto"/>
        <w:ind w:firstLine="720"/>
        <w:rPr>
          <w:highlight w:val="white"/>
        </w:rPr>
      </w:pPr>
    </w:p>
    <w:p w14:paraId="51FF4FAE" w14:textId="77777777" w:rsidR="007E003F" w:rsidRDefault="00E877AB">
      <w:pPr>
        <w:spacing w:line="480" w:lineRule="auto"/>
        <w:rPr>
          <w:b/>
          <w:bCs/>
        </w:rPr>
      </w:pPr>
      <w:r>
        <w:rPr>
          <w:b/>
          <w:bCs/>
          <w:highlight w:val="white"/>
        </w:rPr>
        <w:t>Organisations’ financial independence and mission</w:t>
      </w:r>
    </w:p>
    <w:p w14:paraId="4AA0ABBD" w14:textId="77777777" w:rsidR="007E003F" w:rsidRDefault="00E877AB">
      <w:pPr>
        <w:spacing w:line="480" w:lineRule="auto"/>
        <w:rPr>
          <w:b/>
          <w:bCs/>
          <w:highlight w:val="white"/>
        </w:rPr>
      </w:pPr>
      <w:r>
        <w:t>Organisations that can demonstrate financial independence through earned income (EI) may be more resilient to the volatility and gradual reduction of government funding. Some research shows that nonprofit practitioners often feel compelled to actively manage the tension between their core mission and financial goals (Eikenberry &amp; Kluver, 2004; Pache &amp; Santos, 2013), sometimes even engaging in mission-drifting activities to meet financial objectives (Ko &amp; Liu, 2020). Alternatively, some studies argue that mission and financial sustainability are not inherently incompatible; in fact, prioritizing mission-driven activities can enhance financial stability by more effectively balancing revenues and costs (Foster &amp; Bradach, 2005; Mas-Machuca et al., 2023). Hence, the literature presents conflicting evidence regarding the relationship between earned revenue and mission-related activities.</w:t>
      </w:r>
    </w:p>
    <w:p w14:paraId="10E95039" w14:textId="06B972F6" w:rsidR="007E003F" w:rsidRDefault="00E877AB">
      <w:pPr>
        <w:spacing w:before="240" w:after="240" w:line="480" w:lineRule="auto"/>
        <w:ind w:firstLine="566"/>
      </w:pPr>
      <w:r>
        <w:t>One reason for this conflicting picture is that studies attempting to discern the relationship between mission and financial goals often treat EI as an aggregate variable, lumping all EI activities together (Young &amp; Salamon, 2002). Some scholars argue that these activities should be disaggregated because not all are disassociated from an organisation’s stated mission (Hung &amp; Berrett 2023; Levine Daniel, 2021; Levine Daniel &amp; Kim, 2018; Suykens et al., 2023). Rather, organisations’ activities differ depending on the extent to which they are connected to or embedded within their organisations’ core missions.</w:t>
      </w:r>
    </w:p>
    <w:p w14:paraId="61B75706" w14:textId="77777777" w:rsidR="007E003F" w:rsidRDefault="00E877AB">
      <w:pPr>
        <w:spacing w:before="240" w:after="240" w:line="480" w:lineRule="auto"/>
        <w:rPr>
          <w:b/>
          <w:bCs/>
        </w:rPr>
      </w:pPr>
      <w:r>
        <w:rPr>
          <w:b/>
          <w:bCs/>
        </w:rPr>
        <w:lastRenderedPageBreak/>
        <w:t>Earned revenue embeddedness</w:t>
      </w:r>
    </w:p>
    <w:p w14:paraId="5192637C" w14:textId="77777777" w:rsidR="007E003F" w:rsidRDefault="00E877AB">
      <w:pPr>
        <w:spacing w:before="240" w:after="240" w:line="480" w:lineRule="auto"/>
      </w:pPr>
      <w:r>
        <w:t>In essence, EI activities offer a service or a product to beneficiaries for a fee or charge (Alter, 2007). These activities require financial, human, and technological resources and processes (Damanpour and Evan, 1984). The earned revenue embeddedness framework argues that EI can be embedded in the organisation’s mission activities on two dimensions: target market (TM) and organisational technology (OT). Each organisation’s EI activity can be designed for the same clients or consumers as its core mission activities or can be targeted to different audiences. Similarly, each organisation’s EI activity can use the same resources for core mission activities, or different resources.</w:t>
      </w:r>
    </w:p>
    <w:p w14:paraId="77FF71DF" w14:textId="7A66D60C" w:rsidR="007E003F" w:rsidRDefault="00E877AB">
      <w:pPr>
        <w:spacing w:before="240" w:after="240" w:line="480" w:lineRule="auto"/>
        <w:ind w:firstLine="566"/>
      </w:pPr>
      <w:r>
        <w:t xml:space="preserve">Using these two dimensions (TM and OT), EI activities can be classified as one of three types: embedded, integrated, and external (Levine Daniel, 2021; Levine Daniel &amp; Kim, 2018). An earned revenue activity is </w:t>
      </w:r>
      <w:r>
        <w:rPr>
          <w:i/>
          <w:iCs/>
        </w:rPr>
        <w:t xml:space="preserve">embedded </w:t>
      </w:r>
      <w:r>
        <w:t xml:space="preserve">when it is the core activity or aligns with the core activity on both TM and OT indicators. In this way it is serving two client groups: financiers and customers/clients (Hersberger-Langloh, 2025). A dance company selling tickets to a performance is engaging in an embedded activity. An </w:t>
      </w:r>
      <w:r>
        <w:rPr>
          <w:i/>
          <w:iCs/>
        </w:rPr>
        <w:t xml:space="preserve">integrated </w:t>
      </w:r>
      <w:r>
        <w:t xml:space="preserve">earned revenue activity matches core activity on just one of the two indicators. A dance company selling media related to its performances (for example, videos or magazines) may be using different OT to offer new products or services to its existing TM. An activity is </w:t>
      </w:r>
      <w:r>
        <w:rPr>
          <w:i/>
          <w:iCs/>
        </w:rPr>
        <w:t xml:space="preserve">external </w:t>
      </w:r>
      <w:r>
        <w:t>if it fails to match core activity on both dimensions. Fees from a publicly accessible parking lot can be considered external, as the OT required differs from that of a dance program and serves a distinct TM that may never engage with a company’s performances.</w:t>
      </w:r>
    </w:p>
    <w:p w14:paraId="1DC07272" w14:textId="77777777" w:rsidR="007E003F" w:rsidRDefault="00E877AB">
      <w:pPr>
        <w:spacing w:before="240" w:after="240" w:line="480" w:lineRule="auto"/>
        <w:ind w:firstLine="566"/>
      </w:pPr>
      <w:r>
        <w:t xml:space="preserve">Activities using a different OT than the one employed in core activities (both </w:t>
      </w:r>
      <w:r>
        <w:rPr>
          <w:i/>
          <w:iCs/>
        </w:rPr>
        <w:t xml:space="preserve">external </w:t>
      </w:r>
      <w:r>
        <w:t xml:space="preserve">activities and activities </w:t>
      </w:r>
      <w:r>
        <w:rPr>
          <w:i/>
          <w:iCs/>
        </w:rPr>
        <w:t xml:space="preserve">integrated </w:t>
      </w:r>
      <w:r>
        <w:t xml:space="preserve">along the TM) may be more costly for organisations than activities that use the same OT. Organisations may then need to outsource or acquire new </w:t>
      </w:r>
      <w:r>
        <w:lastRenderedPageBreak/>
        <w:t xml:space="preserve">knowledge, skills, and other resources (Hughes, 2024). Conversely, activities using regular OT may be easily internalized, and resources already used for core service activities can be easily tapped into. Furthermore, reaching consumers and generating revenues may be more challenging for organisations who stray from their core TM (external activities and activities integrated along the OT), as nonprofits know significantly less about indirect customers compared to primary beneficiaries (Foster &amp; Bradach, 2014). In the case of </w:t>
      </w:r>
      <w:r>
        <w:rPr>
          <w:i/>
          <w:iCs/>
        </w:rPr>
        <w:t xml:space="preserve">integrated </w:t>
      </w:r>
      <w:r>
        <w:t xml:space="preserve">EI activities, this may result in either decreased revenues or increased costs. In the case of </w:t>
      </w:r>
      <w:r>
        <w:rPr>
          <w:i/>
          <w:iCs/>
        </w:rPr>
        <w:t xml:space="preserve">external </w:t>
      </w:r>
      <w:r>
        <w:t>EI activities, it may result in both decreased revenues and increased costs. These considerations suggest that higher levels of embeddedness in EI activities may coincide with fewer drawbacks and instead enhance revenue generation capacities and reduce costs. In turn, higher levels of embeddedness may positively affect the ability of organisations to enhance their financial independence.</w:t>
      </w:r>
    </w:p>
    <w:p w14:paraId="7AF351C2" w14:textId="77777777" w:rsidR="007E003F" w:rsidRDefault="00E877AB">
      <w:pPr>
        <w:spacing w:before="240" w:after="240" w:line="480" w:lineRule="auto"/>
      </w:pPr>
      <w:r>
        <w:t xml:space="preserve"> Therefore, this study hypothesizes that: </w:t>
      </w:r>
    </w:p>
    <w:p w14:paraId="63947137" w14:textId="77777777" w:rsidR="007E003F" w:rsidRDefault="00E877AB">
      <w:pPr>
        <w:spacing w:before="240" w:after="240" w:line="480" w:lineRule="auto"/>
        <w:rPr>
          <w:i/>
          <w:iCs/>
        </w:rPr>
      </w:pPr>
      <w:r>
        <w:rPr>
          <w:b/>
          <w:bCs/>
          <w:i/>
          <w:iCs/>
        </w:rPr>
        <w:t xml:space="preserve">Hypothesis </w:t>
      </w:r>
      <w:r>
        <w:rPr>
          <w:i/>
          <w:iCs/>
        </w:rPr>
        <w:t>Higher levels of EI embeddedness are associated with higher levels of financial independence from public funding</w:t>
      </w:r>
    </w:p>
    <w:p w14:paraId="50C840FE" w14:textId="77777777" w:rsidR="007E003F" w:rsidRDefault="00E877AB">
      <w:pPr>
        <w:spacing w:before="240" w:after="240" w:line="480" w:lineRule="auto"/>
      </w:pPr>
      <w:r>
        <w:rPr>
          <w:b/>
          <w:bCs/>
          <w:sz w:val="30"/>
          <w:szCs w:val="30"/>
        </w:rPr>
        <w:t>Methodology </w:t>
      </w:r>
    </w:p>
    <w:p w14:paraId="2D722D56" w14:textId="77777777" w:rsidR="007E003F" w:rsidRDefault="00E877AB">
      <w:pPr>
        <w:pBdr>
          <w:top w:val="nil"/>
          <w:left w:val="nil"/>
          <w:bottom w:val="nil"/>
          <w:right w:val="nil"/>
          <w:between w:val="nil"/>
        </w:pBdr>
        <w:spacing w:line="480" w:lineRule="auto"/>
        <w:rPr>
          <w:b/>
          <w:bCs/>
          <w:highlight w:val="white"/>
        </w:rPr>
      </w:pPr>
      <w:r>
        <w:rPr>
          <w:b/>
          <w:bCs/>
          <w:highlight w:val="white"/>
        </w:rPr>
        <w:t>Sample and data collection</w:t>
      </w:r>
    </w:p>
    <w:p w14:paraId="104206A6" w14:textId="77777777" w:rsidR="007E003F" w:rsidRDefault="00E877AB">
      <w:pPr>
        <w:spacing w:line="480" w:lineRule="auto"/>
      </w:pPr>
      <w:r>
        <w:t xml:space="preserve">We study Dutch dance nonprofits for multiple reasons. First, dance nonprofits operate under fragile financial conditions, with evidence suggesting a heavy reliance on grants and donations to sustain activities (Smith, 2003). However, public grants were found to have a catalytic effect, potentially crowding in private contributions (Smith, 2003b). Despite this reported multiplier effect, dance organisations may have limited capacity to generate market-based revenues, partly due to fixed seasonal pricing and the risk of losing audiences over time </w:t>
      </w:r>
      <w:r>
        <w:lastRenderedPageBreak/>
        <w:t>(Smith, 2003, as cited in del Barrio-Tellado et al., 2020). This aligns with observations that contemporary dance audiences sometimes exhibit lower willingness to pay compared with other arts sectors (Owen &amp; Shibli, 1998). Consequently, even when ticket sales are strong, dance nonprofits may struggle to generate sufficient internal resources to cover operating expenses (Smith, 2003).</w:t>
      </w:r>
    </w:p>
    <w:p w14:paraId="5005CFF1" w14:textId="77777777" w:rsidR="007E003F" w:rsidRDefault="00E877AB">
      <w:pPr>
        <w:spacing w:line="480" w:lineRule="auto"/>
        <w:ind w:firstLine="283"/>
      </w:pPr>
      <w:r>
        <w:t>Second, studies indicate that dance nonprofits are often underfunded relative to other live performing arts (e.g., Arts Council England, 2022; Canada Council for the Arts, 2024; Feder &amp; Katz-Gerro, 2015; Ministero della Cultura, 2021; National Endowment for the Arts, 2023), highlighting their need for alternative income sources. Compared with music ensembles, dance organisations face more limited opportunities for commercialization. While music can generate revenue through recordings, streaming, and licensing, dance largely remains dependent on live performance, and even experiments with digital delivery have proven constrained and less lucrative (Dance/USA, 2021; European Dancehouse Network, 2021).</w:t>
      </w:r>
    </w:p>
    <w:p w14:paraId="0A072EE4" w14:textId="77777777" w:rsidR="007E003F" w:rsidRDefault="00E877AB">
      <w:pPr>
        <w:spacing w:line="480" w:lineRule="auto"/>
        <w:ind w:firstLine="283"/>
      </w:pPr>
      <w:r>
        <w:t>Finally, dance nonprofits exemplify the type of live performing arts organisations analysed by Baumol and Bowen (1966), who identified a cost disease. According to their observations, labour-intensive sectors with low productivity growth face rising costs as wages must keep pace with more productive sectors despite stagnant output per worker, leaving dance nonprofits heavily dependent on public support. Dance thus provides a critical test for theories of subsidy dependence and the trade-off between artistic mission and financial sustainability: if dance companies, arguably the most cost-disease-prone and least commercializable of the arts, are becoming less dependent on subsidies, how is this being are they doing so without compromising their core mission? Our study addresses this paradox directly.</w:t>
      </w:r>
    </w:p>
    <w:p w14:paraId="509E883D" w14:textId="7C86599A" w:rsidR="007E003F" w:rsidRDefault="00E877AB">
      <w:pPr>
        <w:spacing w:line="480" w:lineRule="auto"/>
        <w:ind w:firstLine="283"/>
      </w:pPr>
      <w:r>
        <w:t xml:space="preserve">The Netherlands represent a Western European setting with a long-standing tradition of public intervention to fill the income gaps of arts nonprofits. In recent years, however, there </w:t>
      </w:r>
      <w:r>
        <w:lastRenderedPageBreak/>
        <w:t>has been a shift toward a more market-oriented approach. Until 2020, the government implemented specific parameters to measure different aspects of performing arts organisations’ financial independence from public funding (</w:t>
      </w:r>
      <w:r w:rsidR="0009245C">
        <w:t>Loots</w:t>
      </w:r>
      <w:r>
        <w:t>, 2015; van der Horst et al., 2017). By introducing these parameters, the Dutch government began limiting subsidies and requiring organisations to become incrementally more self-sufficient by raising their own income (EI plus private contributions) (OCW, 2015; van der Horst et al., 2017). Organisations were not merely subject to matching grants, where own income simply complements public funding (Schuster, 1988); rather, they were expected to generate an increasingly larger proportion of their own income over time.</w:t>
      </w:r>
    </w:p>
    <w:p w14:paraId="6CDD7AD4" w14:textId="77777777" w:rsidR="007E003F" w:rsidRDefault="00E877AB">
      <w:pPr>
        <w:spacing w:line="480" w:lineRule="auto"/>
        <w:ind w:firstLine="283"/>
      </w:pPr>
      <w:r>
        <w:t>In the Netherlands, various subsidizers fund performing arts organisations. Only a minority of “high-level” organisations receive structural funding, either directly from the Ministry of Education, Culture and Science (OCW) or through the Fund for Performing Arts (FPA) (OCW, 2015; van der Veen et al., 2018). In addition, many arts organisations receive structural and/or incidental funding, for example from provinces and municipalities (e.g., AFK, n.d., n.d.-a). Y</w:t>
      </w:r>
      <w:r>
        <w:rPr>
          <w:highlight w:val="white"/>
        </w:rPr>
        <w:t xml:space="preserve">early listings of organisations applying to OCW and FPA are publicly available. We consulted the Raad voor Cultuur (Council for Culture [CfC]) and FPA lists corresponding to subsidy periods 2013-2016, 2017-2020, and 2021-2024 to compile a comprehensive dataset of organisations’ financial statements. Additionally, based on the geographical division by FPA (noord, oost, midden, west, zuid, Amsterdam, Rotterdam, Den Haag, Utrecht) we sampled organisations not listed by CfC or FPA on the websites of local and regional funders and considered them for analysis. That led us to identify a population of approximately 55 Dutch dance organisations. We then searched the financial statements on their websites, external websites such as </w:t>
      </w:r>
      <w:r>
        <w:t>Federatiecultuur.nl (Federatie Cultuur, n.d.) or Issuu (Issuu Publisher Publications, n.d.)</w:t>
      </w:r>
      <w:r>
        <w:rPr>
          <w:highlight w:val="white"/>
        </w:rPr>
        <w:t xml:space="preserve">. </w:t>
      </w:r>
      <w:r>
        <w:t>Our final sample comprises 100 statements between 2011-2019 from 24 organisations (Table 1).</w:t>
      </w:r>
    </w:p>
    <w:p w14:paraId="07BDFBB9" w14:textId="77777777" w:rsidR="007E003F" w:rsidRDefault="007E003F">
      <w:pPr>
        <w:spacing w:line="480" w:lineRule="auto"/>
        <w:ind w:firstLine="283"/>
      </w:pPr>
    </w:p>
    <w:p w14:paraId="1E6EA07B" w14:textId="77777777" w:rsidR="007E003F" w:rsidRDefault="00E877AB">
      <w:pPr>
        <w:numPr>
          <w:ilvl w:val="0"/>
          <w:numId w:val="2"/>
        </w:numPr>
        <w:spacing w:line="480" w:lineRule="auto"/>
        <w:jc w:val="center"/>
      </w:pPr>
      <w:r>
        <w:t>insert Table 1 about here   -</w:t>
      </w:r>
    </w:p>
    <w:p w14:paraId="150F51F9" w14:textId="77777777" w:rsidR="007E003F" w:rsidRDefault="007E003F">
      <w:pPr>
        <w:pBdr>
          <w:top w:val="nil"/>
          <w:left w:val="nil"/>
          <w:bottom w:val="nil"/>
          <w:right w:val="nil"/>
          <w:between w:val="nil"/>
        </w:pBdr>
        <w:spacing w:line="480" w:lineRule="auto"/>
        <w:rPr>
          <w:b/>
          <w:bCs/>
        </w:rPr>
      </w:pPr>
    </w:p>
    <w:p w14:paraId="07C87548" w14:textId="77777777" w:rsidR="007E003F" w:rsidRDefault="00E877AB">
      <w:pPr>
        <w:pBdr>
          <w:top w:val="nil"/>
          <w:left w:val="nil"/>
          <w:bottom w:val="nil"/>
          <w:right w:val="nil"/>
          <w:between w:val="nil"/>
        </w:pBdr>
        <w:spacing w:line="480" w:lineRule="auto"/>
      </w:pPr>
      <w:r>
        <w:rPr>
          <w:b/>
          <w:bCs/>
        </w:rPr>
        <w:t>Earned revenue embeddedness variable through clustering</w:t>
      </w:r>
    </w:p>
    <w:p w14:paraId="30480AFF" w14:textId="77777777" w:rsidR="007E003F" w:rsidRDefault="00E877AB">
      <w:pPr>
        <w:spacing w:line="480" w:lineRule="auto"/>
        <w:ind w:firstLine="720"/>
      </w:pPr>
      <w:r>
        <w:t>According to governmental publications (e.g. FPA, 2014, n.d.-b; OCW, n.d., 2015, 2017, 2022) Dutch dance nonprofits report EI under five sections: audience, co-production, other, and sponsor (all categorized as direct, i.e., income generated from activities responding to organisations’ core mission), and indirect (from activities not directly related to core mission). We recategorized EI according to the embeddedness framework. Table 2 presents a list of EI activities (355 in total) identified in each of the five EI sections, grouped in categories (second column), in sub-categories (third column), and the</w:t>
      </w:r>
      <w:r>
        <w:rPr>
          <w:b/>
          <w:bCs/>
        </w:rPr>
        <w:t xml:space="preserve"> </w:t>
      </w:r>
      <w:r>
        <w:t xml:space="preserve">decision rules (based on the OT and TM indicators as explained above) (fourth and fifth column) used to categorize them into </w:t>
      </w:r>
      <w:r>
        <w:rPr>
          <w:i/>
          <w:iCs/>
        </w:rPr>
        <w:t>embeddedness types:</w:t>
      </w:r>
      <w:r>
        <w:t xml:space="preserve"> </w:t>
      </w:r>
      <w:r>
        <w:rPr>
          <w:i/>
          <w:iCs/>
        </w:rPr>
        <w:t>embedded</w:t>
      </w:r>
      <w:r>
        <w:t xml:space="preserve">, </w:t>
      </w:r>
      <w:r>
        <w:rPr>
          <w:i/>
          <w:iCs/>
        </w:rPr>
        <w:t>integrated</w:t>
      </w:r>
      <w:r>
        <w:t xml:space="preserve">, and </w:t>
      </w:r>
      <w:r>
        <w:rPr>
          <w:i/>
          <w:iCs/>
        </w:rPr>
        <w:t xml:space="preserve">external </w:t>
      </w:r>
      <w:r>
        <w:t xml:space="preserve">(sixth column). Two raters independently coded for categorization. The robustness of their categorizations was verified using </w:t>
      </w:r>
      <w:r>
        <w:rPr>
          <w:highlight w:val="white"/>
        </w:rPr>
        <w:t>Cohen’s Kappa</w:t>
      </w:r>
      <w:r>
        <w:t xml:space="preserve"> inter-rater agreement test (Cohen, 1960) which confirmed a high level of consistency. </w:t>
      </w:r>
    </w:p>
    <w:p w14:paraId="56DAA92F" w14:textId="77777777" w:rsidR="007E003F" w:rsidRDefault="00E877AB">
      <w:pPr>
        <w:spacing w:line="480" w:lineRule="auto"/>
        <w:ind w:firstLine="720"/>
      </w:pPr>
      <w:r>
        <w:t>To construct a variable that quantifies the level of EI activities’ embeddedness, we grouped the five EI sections into clusters that closely mirrored different embeddedness levels through hierarchical clustering analysis. This method is frequently used to refine complex constructs into measurable variables by identifying differing degrees or aspects (Huseynov &amp; Yildirim, 2019). </w:t>
      </w:r>
    </w:p>
    <w:p w14:paraId="1D995408" w14:textId="77777777" w:rsidR="007E003F" w:rsidRDefault="00E877AB">
      <w:pPr>
        <w:spacing w:line="480" w:lineRule="auto"/>
        <w:ind w:firstLine="720"/>
      </w:pPr>
      <w:r>
        <w:t xml:space="preserve">In the clustering process, we assembled a dataset comprising three nominal variables representing a revenue's category, sub-category, and the corresponding EI section. An ordinal variable assessed the revenue activities embeddedness level as </w:t>
      </w:r>
      <w:r>
        <w:rPr>
          <w:i/>
          <w:iCs/>
        </w:rPr>
        <w:t xml:space="preserve">external </w:t>
      </w:r>
      <w:r>
        <w:t xml:space="preserve">(1), </w:t>
      </w:r>
      <w:r>
        <w:rPr>
          <w:i/>
          <w:iCs/>
        </w:rPr>
        <w:t xml:space="preserve">integrated </w:t>
      </w:r>
      <w:r>
        <w:t xml:space="preserve">(2), or </w:t>
      </w:r>
      <w:r>
        <w:rPr>
          <w:i/>
          <w:iCs/>
        </w:rPr>
        <w:t xml:space="preserve">embedded </w:t>
      </w:r>
      <w:r>
        <w:t xml:space="preserve">(3). A fifth identifier variable tagged each revenue to a specific financial </w:t>
      </w:r>
      <w:r>
        <w:lastRenderedPageBreak/>
        <w:t>statement. This analysis computed the mean embeddedness score for each EI section, grouping sections by similarity in their scores. The resulting two clusters, Cluster 1 being EI with higher embeddedness and Cluster 2 being EI with lower embeddedness, delineate significantly distinct levels of embeddedness, providing a nuanced framework for quantifying EI embeddedness.</w:t>
      </w:r>
    </w:p>
    <w:p w14:paraId="1E397639" w14:textId="77777777" w:rsidR="007E003F" w:rsidRDefault="007E003F">
      <w:pPr>
        <w:spacing w:line="480" w:lineRule="auto"/>
        <w:ind w:firstLine="720"/>
      </w:pPr>
    </w:p>
    <w:p w14:paraId="1D792ED8" w14:textId="77777777" w:rsidR="007E003F" w:rsidRDefault="00E877AB">
      <w:pPr>
        <w:numPr>
          <w:ilvl w:val="0"/>
          <w:numId w:val="2"/>
        </w:numPr>
        <w:spacing w:line="480" w:lineRule="auto"/>
        <w:jc w:val="center"/>
      </w:pPr>
      <w:r>
        <w:t>insert Table 2 about here   -</w:t>
      </w:r>
    </w:p>
    <w:p w14:paraId="4D06C88B" w14:textId="77777777" w:rsidR="007E003F" w:rsidRDefault="007E003F">
      <w:pPr>
        <w:spacing w:line="480" w:lineRule="auto"/>
      </w:pPr>
    </w:p>
    <w:p w14:paraId="18485F8E" w14:textId="001E55AF" w:rsidR="007E003F" w:rsidRDefault="00E877AB">
      <w:pPr>
        <w:spacing w:line="480" w:lineRule="auto"/>
      </w:pPr>
      <w:r>
        <w:rPr>
          <w:b/>
          <w:bCs/>
        </w:rPr>
        <w:t>Dependent variables</w:t>
      </w:r>
      <w:r>
        <w:br/>
        <w:t>Organisations’ financial independence is operationalized through three variables, OIR₁, OIR₂, and OIR₃, reflecting actual Dutch policy “income standards” that capture different forms of independence from public funding, as defined by OCW and the Fund for Performing Arts (</w:t>
      </w:r>
      <w:r w:rsidR="0009245C">
        <w:t>Loots</w:t>
      </w:r>
      <w:r>
        <w:t xml:space="preserve">, 2015; van der Horst et al., 2017). Irrespective of the specific metric that each subsidizer applied, we calculated three income standards for each organisation, because they provide distinct insights into various facets of an organisation’s financial independence. </w:t>
      </w:r>
    </w:p>
    <w:p w14:paraId="2B868302" w14:textId="77777777" w:rsidR="007E003F" w:rsidRDefault="00E877AB">
      <w:pPr>
        <w:spacing w:line="480" w:lineRule="auto"/>
      </w:pPr>
      <w:r>
        <w:tab/>
        <w:t>The first standard is called “own-income ratio” (OIR₁) and is expressed as the percentage of own income (EI plus private contributions) relative to total income (FPA, 2014):</w:t>
      </w:r>
      <w:r>
        <w:rPr>
          <w:noProof/>
        </w:rPr>
        <w:drawing>
          <wp:anchor distT="114300" distB="114300" distL="114300" distR="114300" simplePos="0" relativeHeight="251658240" behindDoc="0" locked="0" layoutInCell="1" hidden="0" allowOverlap="1" wp14:anchorId="7E6C4E14" wp14:editId="1BFC583E">
            <wp:simplePos x="0" y="0"/>
            <wp:positionH relativeFrom="column">
              <wp:posOffset>751050</wp:posOffset>
            </wp:positionH>
            <wp:positionV relativeFrom="paragraph">
              <wp:posOffset>1108472</wp:posOffset>
            </wp:positionV>
            <wp:extent cx="3944775" cy="438308"/>
            <wp:effectExtent l="0" t="0" r="0" b="0"/>
            <wp:wrapTopAndBottom distT="114300" distB="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44775" cy="438308"/>
                    </a:xfrm>
                    <a:prstGeom prst="rect">
                      <a:avLst/>
                    </a:prstGeom>
                    <a:ln/>
                  </pic:spPr>
                </pic:pic>
              </a:graphicData>
            </a:graphic>
          </wp:anchor>
        </w:drawing>
      </w:r>
    </w:p>
    <w:p w14:paraId="625CB4F2" w14:textId="77777777" w:rsidR="007E003F" w:rsidRDefault="007E003F">
      <w:pPr>
        <w:spacing w:line="480" w:lineRule="auto"/>
        <w:ind w:firstLine="720"/>
        <w:jc w:val="center"/>
        <w:rPr>
          <w:i/>
          <w:iCs/>
        </w:rPr>
      </w:pPr>
    </w:p>
    <w:p w14:paraId="1996A439" w14:textId="6F5C7871" w:rsidR="007E003F" w:rsidRDefault="00E877AB">
      <w:pPr>
        <w:spacing w:line="480" w:lineRule="auto"/>
      </w:pPr>
      <w:r>
        <w:t>It specifies the degree of an organisation’s reliance on its own income relative to total income. In other words, the metric expresses the percentage of income that organisations should make themselves, and how much public funding bodies would maximum contribute (</w:t>
      </w:r>
      <w:r w:rsidR="0009245C">
        <w:t>Loots</w:t>
      </w:r>
      <w:r>
        <w:t xml:space="preserve">, 2015). </w:t>
      </w:r>
    </w:p>
    <w:p w14:paraId="4326DF4C" w14:textId="77777777" w:rsidR="007E003F" w:rsidRDefault="00E877AB">
      <w:pPr>
        <w:spacing w:line="480" w:lineRule="auto"/>
        <w:ind w:firstLine="720"/>
      </w:pPr>
      <w:r>
        <w:lastRenderedPageBreak/>
        <w:t>The second standard is another “own-income ratio” (OIR₂), or the ratio of an organisation’s own income to its structural subsidies (FPA, 2014):</w:t>
      </w:r>
      <w:r>
        <w:rPr>
          <w:noProof/>
        </w:rPr>
        <w:drawing>
          <wp:anchor distT="114300" distB="114300" distL="114300" distR="114300" simplePos="0" relativeHeight="251659264" behindDoc="0" locked="0" layoutInCell="1" hidden="0" allowOverlap="1" wp14:anchorId="3AD2097B" wp14:editId="26C28E0D">
            <wp:simplePos x="0" y="0"/>
            <wp:positionH relativeFrom="column">
              <wp:posOffset>700088</wp:posOffset>
            </wp:positionH>
            <wp:positionV relativeFrom="paragraph">
              <wp:posOffset>657225</wp:posOffset>
            </wp:positionV>
            <wp:extent cx="4044788" cy="450442"/>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044788" cy="450442"/>
                    </a:xfrm>
                    <a:prstGeom prst="rect">
                      <a:avLst/>
                    </a:prstGeom>
                    <a:ln/>
                  </pic:spPr>
                </pic:pic>
              </a:graphicData>
            </a:graphic>
          </wp:anchor>
        </w:drawing>
      </w:r>
    </w:p>
    <w:p w14:paraId="4551301D" w14:textId="77777777" w:rsidR="007E003F" w:rsidRDefault="007E003F">
      <w:pPr>
        <w:spacing w:line="480" w:lineRule="auto"/>
        <w:ind w:firstLine="720"/>
        <w:jc w:val="center"/>
        <w:rPr>
          <w:i/>
          <w:iCs/>
        </w:rPr>
      </w:pPr>
    </w:p>
    <w:p w14:paraId="56AFA9A4" w14:textId="77777777" w:rsidR="007E003F" w:rsidRDefault="007E003F">
      <w:pPr>
        <w:pBdr>
          <w:top w:val="nil"/>
          <w:left w:val="nil"/>
          <w:bottom w:val="nil"/>
          <w:right w:val="nil"/>
          <w:between w:val="nil"/>
        </w:pBdr>
        <w:spacing w:line="480" w:lineRule="auto"/>
      </w:pPr>
    </w:p>
    <w:p w14:paraId="2C0BE201" w14:textId="77777777" w:rsidR="007E003F" w:rsidRDefault="00E877AB">
      <w:pPr>
        <w:pBdr>
          <w:top w:val="nil"/>
          <w:left w:val="nil"/>
          <w:bottom w:val="nil"/>
          <w:right w:val="nil"/>
          <w:between w:val="nil"/>
        </w:pBdr>
        <w:spacing w:line="480" w:lineRule="auto"/>
      </w:pPr>
      <w:r>
        <w:t xml:space="preserve">The ratio indicates the degree of an organisation’s reliance on its own income relative to structural subsidies. </w:t>
      </w:r>
    </w:p>
    <w:p w14:paraId="5EEA09A4" w14:textId="77777777" w:rsidR="007E003F" w:rsidRDefault="00E877AB">
      <w:pPr>
        <w:pBdr>
          <w:top w:val="nil"/>
          <w:left w:val="nil"/>
          <w:bottom w:val="nil"/>
          <w:right w:val="nil"/>
          <w:between w:val="nil"/>
        </w:pBdr>
        <w:spacing w:line="480" w:lineRule="auto"/>
        <w:ind w:firstLine="720"/>
      </w:pPr>
      <w:r>
        <w:t>The third standard is the “other income ratio” (OIR₃). It is calculated by subtracting the main structural subsidy (granted by FPA) from total income, divided by total income, times 100 for obtaining a percentage (FPA, 2014):</w:t>
      </w:r>
      <w:r>
        <w:rPr>
          <w:noProof/>
        </w:rPr>
        <w:drawing>
          <wp:anchor distT="114300" distB="114300" distL="114300" distR="114300" simplePos="0" relativeHeight="251660288" behindDoc="0" locked="0" layoutInCell="1" hidden="0" allowOverlap="1" wp14:anchorId="10D03E73" wp14:editId="1FF87E52">
            <wp:simplePos x="0" y="0"/>
            <wp:positionH relativeFrom="column">
              <wp:posOffset>304800</wp:posOffset>
            </wp:positionH>
            <wp:positionV relativeFrom="paragraph">
              <wp:posOffset>1040011</wp:posOffset>
            </wp:positionV>
            <wp:extent cx="4024313" cy="490548"/>
            <wp:effectExtent l="0" t="0" r="0" b="0"/>
            <wp:wrapTopAndBottom distT="114300" distB="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024313" cy="490548"/>
                    </a:xfrm>
                    <a:prstGeom prst="rect">
                      <a:avLst/>
                    </a:prstGeom>
                    <a:ln/>
                  </pic:spPr>
                </pic:pic>
              </a:graphicData>
            </a:graphic>
          </wp:anchor>
        </w:drawing>
      </w:r>
    </w:p>
    <w:p w14:paraId="5380CB25" w14:textId="77777777" w:rsidR="007E003F" w:rsidRDefault="00E877AB">
      <w:pPr>
        <w:pBdr>
          <w:top w:val="nil"/>
          <w:left w:val="nil"/>
          <w:bottom w:val="nil"/>
          <w:right w:val="nil"/>
          <w:between w:val="nil"/>
        </w:pBdr>
        <w:spacing w:line="480" w:lineRule="auto"/>
        <w:ind w:firstLine="720"/>
      </w:pPr>
      <w:r>
        <w:t xml:space="preserve"> </w:t>
      </w:r>
      <w:r>
        <w:rPr>
          <w:i/>
          <w:iCs/>
        </w:rPr>
        <w:tab/>
      </w:r>
    </w:p>
    <w:p w14:paraId="0EFE19DE" w14:textId="77777777" w:rsidR="007E003F" w:rsidRDefault="007E003F">
      <w:pPr>
        <w:pBdr>
          <w:top w:val="nil"/>
          <w:left w:val="nil"/>
          <w:bottom w:val="nil"/>
          <w:right w:val="nil"/>
          <w:between w:val="nil"/>
        </w:pBdr>
        <w:spacing w:line="480" w:lineRule="auto"/>
      </w:pPr>
    </w:p>
    <w:p w14:paraId="453321CE" w14:textId="77777777" w:rsidR="007E003F" w:rsidRDefault="00E877AB">
      <w:pPr>
        <w:pBdr>
          <w:top w:val="nil"/>
          <w:left w:val="nil"/>
          <w:bottom w:val="nil"/>
          <w:right w:val="nil"/>
          <w:between w:val="nil"/>
        </w:pBdr>
        <w:spacing w:line="480" w:lineRule="auto"/>
        <w:ind w:firstLine="720"/>
        <w:rPr>
          <w:i/>
          <w:iCs/>
        </w:rPr>
      </w:pPr>
      <w:r>
        <w:t>The metric represents the portion of an organisation’s income that comes from its own revenue-generating activities and other subsidies, excluding the main structural subsidy provided by FPA. In other words, it represents the maximum contribution that FPA would make. Because FPA organisations typically receive the largest share of their structural subsidies from FPA compared with other sources (van der Veen et al., 2018), the OIR₃ indicates the extent to which these organisations rely on this leading subsidy source. The formulation allows the OIR₃ to be calculated for any organisation, not only those structurally subsidized by FPA.</w:t>
      </w:r>
    </w:p>
    <w:p w14:paraId="55A4B29A" w14:textId="77777777" w:rsidR="007E003F" w:rsidRDefault="007E003F">
      <w:pPr>
        <w:pBdr>
          <w:top w:val="nil"/>
          <w:left w:val="nil"/>
          <w:bottom w:val="nil"/>
          <w:right w:val="nil"/>
          <w:between w:val="nil"/>
        </w:pBdr>
        <w:spacing w:line="480" w:lineRule="auto"/>
        <w:rPr>
          <w:b/>
          <w:bCs/>
        </w:rPr>
      </w:pPr>
    </w:p>
    <w:p w14:paraId="2A64A4D3" w14:textId="77777777" w:rsidR="007E003F" w:rsidRDefault="00E877AB">
      <w:pPr>
        <w:pBdr>
          <w:top w:val="nil"/>
          <w:left w:val="nil"/>
          <w:bottom w:val="nil"/>
          <w:right w:val="nil"/>
          <w:between w:val="nil"/>
        </w:pBdr>
        <w:spacing w:line="480" w:lineRule="auto"/>
      </w:pPr>
      <w:r>
        <w:rPr>
          <w:b/>
          <w:bCs/>
        </w:rPr>
        <w:t>Independent Variables</w:t>
      </w:r>
    </w:p>
    <w:p w14:paraId="7213F530" w14:textId="77777777" w:rsidR="007E003F" w:rsidRDefault="00E877AB">
      <w:pPr>
        <w:pBdr>
          <w:top w:val="nil"/>
          <w:left w:val="nil"/>
          <w:bottom w:val="nil"/>
          <w:right w:val="nil"/>
          <w:between w:val="nil"/>
        </w:pBdr>
        <w:spacing w:line="480" w:lineRule="auto"/>
      </w:pPr>
      <w:r>
        <w:t xml:space="preserve">Our independent variables reflect each earned income (EI) activity’s level of earned revenue embeddedness”. We operationalized three variables representing different measures of </w:t>
      </w:r>
      <w:r>
        <w:lastRenderedPageBreak/>
        <w:t xml:space="preserve">embeddedness. By assessing the portions of monetary amount with higher (Cluster 1) and lower embeddedness (Cluster 2), i.e. the variables </w:t>
      </w:r>
      <w:r>
        <w:rPr>
          <w:i/>
          <w:iCs/>
        </w:rPr>
        <w:t>Higher embeddedness EI amount</w:t>
      </w:r>
      <w:r>
        <w:t xml:space="preserve"> and </w:t>
      </w:r>
      <w:r>
        <w:rPr>
          <w:i/>
          <w:iCs/>
        </w:rPr>
        <w:t>Lower embeddedness EI amount,</w:t>
      </w:r>
      <w:r>
        <w:t xml:space="preserve"> we assess the impact of an absolute amount of money on an organisation’s financial independence, assuming the embeddedness level directly impacts financial independence. </w:t>
      </w:r>
    </w:p>
    <w:p w14:paraId="02B217AB" w14:textId="15AA588C" w:rsidR="007E003F" w:rsidRDefault="00E877AB">
      <w:pPr>
        <w:pBdr>
          <w:top w:val="nil"/>
          <w:left w:val="nil"/>
          <w:bottom w:val="nil"/>
          <w:right w:val="nil"/>
          <w:between w:val="nil"/>
        </w:pBdr>
        <w:spacing w:line="480" w:lineRule="auto"/>
        <w:ind w:firstLine="720"/>
      </w:pPr>
      <w:r>
        <w:t xml:space="preserve">Moreover, as an addition to the original framework (Levine Daniel &amp; Kim, 2018; Levine Daniel, 2021), we determine whether the relative importance of each EI portion impacts financial independence. We can do so by assessing the </w:t>
      </w:r>
      <w:r>
        <w:rPr>
          <w:i/>
          <w:iCs/>
        </w:rPr>
        <w:t xml:space="preserve">proportion </w:t>
      </w:r>
      <w:r>
        <w:t xml:space="preserve">of the portion with higher embeddedness, i.e. (Higher embeddedness EI amount </w:t>
      </w:r>
      <w:r>
        <w:rPr>
          <w:rFonts w:ascii="Roboto" w:eastAsia="Roboto" w:hAnsi="Roboto" w:cs="Roboto"/>
          <w:sz w:val="21"/>
          <w:szCs w:val="21"/>
        </w:rPr>
        <w:t>/</w:t>
      </w:r>
      <w:r>
        <w:t xml:space="preserve"> total EI) x 100%. We call this variable </w:t>
      </w:r>
      <w:r>
        <w:rPr>
          <w:i/>
          <w:iCs/>
        </w:rPr>
        <w:t>Higher embeddedness EI proportion</w:t>
      </w:r>
      <w:r>
        <w:t>. The higher embeddedness EI amount represents only a part of total EI, therefore its impact on financial independence might be more significant when it constitutes a larger proportion of total EI, even if its absolute value is small. To avoid multicollinearity issues, we did not consider a measure for lower embeddedness EI.</w:t>
      </w:r>
      <w:r>
        <w:rPr>
          <w:b/>
          <w:bCs/>
        </w:rPr>
        <w:t> </w:t>
      </w:r>
      <w:r>
        <w:rPr>
          <w:highlight w:val="yellow"/>
        </w:rPr>
        <w:t xml:space="preserve"> </w:t>
      </w:r>
    </w:p>
    <w:p w14:paraId="0542BDE3" w14:textId="77777777" w:rsidR="007E003F" w:rsidRDefault="007E003F">
      <w:pPr>
        <w:spacing w:line="480" w:lineRule="auto"/>
      </w:pPr>
    </w:p>
    <w:p w14:paraId="6C7B5ADF" w14:textId="77777777" w:rsidR="007E003F" w:rsidRDefault="00E877AB">
      <w:pPr>
        <w:pBdr>
          <w:top w:val="nil"/>
          <w:left w:val="nil"/>
          <w:bottom w:val="nil"/>
          <w:right w:val="nil"/>
          <w:between w:val="nil"/>
        </w:pBdr>
        <w:spacing w:line="480" w:lineRule="auto"/>
      </w:pPr>
      <w:r>
        <w:rPr>
          <w:b/>
          <w:bCs/>
        </w:rPr>
        <w:t>Control variables</w:t>
      </w:r>
    </w:p>
    <w:p w14:paraId="535A10B1" w14:textId="77777777" w:rsidR="007E003F" w:rsidRDefault="00E877AB">
      <w:pPr>
        <w:pBdr>
          <w:top w:val="nil"/>
          <w:left w:val="nil"/>
          <w:bottom w:val="nil"/>
          <w:right w:val="nil"/>
          <w:between w:val="nil"/>
        </w:pBdr>
        <w:spacing w:line="480" w:lineRule="auto"/>
      </w:pPr>
      <w:r>
        <w:t xml:space="preserve">To account for potential confounding factors, we control for variables that may influence financial independence. </w:t>
      </w:r>
    </w:p>
    <w:p w14:paraId="413F3263" w14:textId="77777777" w:rsidR="007E003F" w:rsidRDefault="00E877AB">
      <w:pPr>
        <w:pBdr>
          <w:top w:val="nil"/>
          <w:left w:val="nil"/>
          <w:bottom w:val="nil"/>
          <w:right w:val="nil"/>
          <w:between w:val="nil"/>
        </w:pBdr>
        <w:spacing w:line="480" w:lineRule="auto"/>
        <w:ind w:firstLine="720"/>
      </w:pPr>
      <w:r>
        <w:rPr>
          <w:i/>
          <w:iCs/>
        </w:rPr>
        <w:t>Revenue concentration (RC), Equity ratio (ER), Management expense ratio (MER)</w:t>
      </w:r>
      <w:r>
        <w:t>, and</w:t>
      </w:r>
      <w:r>
        <w:rPr>
          <w:i/>
          <w:iCs/>
        </w:rPr>
        <w:t xml:space="preserve"> Operating margin (OM) </w:t>
      </w:r>
      <w:r>
        <w:t xml:space="preserve">(all ratio variables) are financial characteristics that can predict nonprofits’ financial vulnerability and, in turn, help nonprofits cope with financial distress (Despard et al., 2017; Trussel &amp; Greenlee, 2004; Tuckman &amp; Chang, 1991). According to the widely used model by Tuckman &amp; Chang (1991), diversified revenue sources, adequate equity balances, sufficient management allocations, and positive operating margins contribute to an organisation’s financial stability by providing flexibility in the face of financial distress. </w:t>
      </w:r>
      <w:r>
        <w:lastRenderedPageBreak/>
        <w:t xml:space="preserve">Those controls also reflect nonprofits’ capacity of income deployment, which enhances financial independence. We follow Chikoto et al. (2015) and Trussel &amp; Greenlee (2004) in measuring </w:t>
      </w:r>
      <w:r>
        <w:rPr>
          <w:i/>
          <w:iCs/>
        </w:rPr>
        <w:t>RC</w:t>
      </w:r>
      <w:r>
        <w:t xml:space="preserve"> through the </w:t>
      </w:r>
      <w:r>
        <w:rPr>
          <w:highlight w:val="white"/>
        </w:rPr>
        <w:t xml:space="preserve">Herfindahl-Hirschman Index </w:t>
      </w:r>
      <w:r>
        <w:t xml:space="preserve">(HHI), with the formula: “sum of the total squared proportions of total revenue” (Chikoto et al., 2015, p.4), namely Σ (revenue activity </w:t>
      </w:r>
      <w:r>
        <w:rPr>
          <w:rFonts w:ascii="Roboto" w:eastAsia="Roboto" w:hAnsi="Roboto" w:cs="Roboto"/>
          <w:sz w:val="21"/>
          <w:szCs w:val="21"/>
        </w:rPr>
        <w:t>/</w:t>
      </w:r>
      <w:r>
        <w:t xml:space="preserve"> total income)² (Trussel &amp; Greenlee, 2004). Measuring RC with the HHI index makes it possible to account for the number of income activities and thus reflects how homogeneously income is distributed across those various activities (Chikoto et al., 2015). We follow Trussel &amp; Greenlee (2004) who calculate </w:t>
      </w:r>
      <w:r>
        <w:rPr>
          <w:i/>
          <w:iCs/>
        </w:rPr>
        <w:t>ER,</w:t>
      </w:r>
      <w:r>
        <w:t> </w:t>
      </w:r>
      <w:r>
        <w:rPr>
          <w:i/>
          <w:iCs/>
        </w:rPr>
        <w:t>MER, </w:t>
      </w:r>
      <w:r>
        <w:t>and </w:t>
      </w:r>
      <w:r>
        <w:rPr>
          <w:i/>
          <w:iCs/>
        </w:rPr>
        <w:t>OM </w:t>
      </w:r>
      <w:r>
        <w:t xml:space="preserve">as, respectively: equity </w:t>
      </w:r>
      <w:r>
        <w:rPr>
          <w:rFonts w:ascii="Roboto" w:eastAsia="Roboto" w:hAnsi="Roboto" w:cs="Roboto"/>
          <w:sz w:val="21"/>
          <w:szCs w:val="21"/>
        </w:rPr>
        <w:t>/</w:t>
      </w:r>
      <w:r>
        <w:t xml:space="preserve"> total revenues, management expenses </w:t>
      </w:r>
      <w:r>
        <w:rPr>
          <w:rFonts w:ascii="Roboto" w:eastAsia="Roboto" w:hAnsi="Roboto" w:cs="Roboto"/>
          <w:sz w:val="21"/>
          <w:szCs w:val="21"/>
        </w:rPr>
        <w:t>/</w:t>
      </w:r>
      <w:r>
        <w:t xml:space="preserve"> total expenses, and (revenues – expenses) </w:t>
      </w:r>
      <w:r>
        <w:rPr>
          <w:rFonts w:ascii="Roboto" w:eastAsia="Roboto" w:hAnsi="Roboto" w:cs="Roboto"/>
          <w:sz w:val="21"/>
          <w:szCs w:val="21"/>
        </w:rPr>
        <w:t>/</w:t>
      </w:r>
      <w:r>
        <w:t xml:space="preserve"> total revenues. </w:t>
      </w:r>
    </w:p>
    <w:p w14:paraId="307CE2DF" w14:textId="77777777" w:rsidR="007E003F" w:rsidRDefault="00E877AB">
      <w:pPr>
        <w:pBdr>
          <w:top w:val="nil"/>
          <w:left w:val="nil"/>
          <w:bottom w:val="nil"/>
          <w:right w:val="nil"/>
          <w:between w:val="nil"/>
        </w:pBdr>
        <w:spacing w:line="480" w:lineRule="auto"/>
        <w:ind w:firstLine="720"/>
      </w:pPr>
      <w:r>
        <w:rPr>
          <w:i/>
          <w:iCs/>
        </w:rPr>
        <w:t xml:space="preserve">Private contributions </w:t>
      </w:r>
      <w:r>
        <w:t xml:space="preserve">are included as a ratio of donations an organisation receives. </w:t>
      </w:r>
    </w:p>
    <w:p w14:paraId="421855DC" w14:textId="1B517114" w:rsidR="007E003F" w:rsidRDefault="00E877AB">
      <w:pPr>
        <w:pBdr>
          <w:top w:val="nil"/>
          <w:left w:val="nil"/>
          <w:bottom w:val="nil"/>
          <w:right w:val="nil"/>
          <w:between w:val="nil"/>
        </w:pBdr>
        <w:spacing w:line="480" w:lineRule="auto"/>
        <w:ind w:firstLine="720"/>
      </w:pPr>
      <w:r>
        <w:t>In line with the metrics adopted by Dutch public authorities to assess quality (e.g., FPA, n.d.-b; AFK, 2016), </w:t>
      </w:r>
      <w:r>
        <w:rPr>
          <w:i/>
          <w:iCs/>
        </w:rPr>
        <w:t>Artistic quality</w:t>
      </w:r>
      <w:r>
        <w:t xml:space="preserve"> is operationalized as an ordinal variable comprising six categories: “insufficient,” “weak,” “sufficient,” “more than sufficient,” “good,” and “very good”. Funding bodies have consistently used artistic quality as a “condition sine qua non” for subsidies (</w:t>
      </w:r>
      <w:r>
        <w:rPr>
          <w:highlight w:val="white"/>
        </w:rPr>
        <w:t>CfC</w:t>
      </w:r>
      <w:r>
        <w:t>, 2012, 2015, 2020; FPA, 2012, n.d.-a, n.d.-b, n.d.-c), with judging panels prioritizing it over other criteria (</w:t>
      </w:r>
      <w:r w:rsidR="0009245C">
        <w:t>Loots</w:t>
      </w:r>
      <w:r>
        <w:t xml:space="preserve">, 2019). </w:t>
      </w:r>
    </w:p>
    <w:p w14:paraId="3AA2B263" w14:textId="77777777" w:rsidR="007E003F" w:rsidRDefault="00E877AB">
      <w:pPr>
        <w:pBdr>
          <w:top w:val="nil"/>
          <w:left w:val="nil"/>
          <w:bottom w:val="nil"/>
          <w:right w:val="nil"/>
          <w:between w:val="nil"/>
        </w:pBdr>
        <w:spacing w:line="480" w:lineRule="auto"/>
        <w:ind w:firstLine="720"/>
      </w:pPr>
      <w:r>
        <w:t xml:space="preserve"> We control for </w:t>
      </w:r>
      <w:r>
        <w:rPr>
          <w:i/>
          <w:iCs/>
        </w:rPr>
        <w:t>size</w:t>
      </w:r>
      <w:r>
        <w:t xml:space="preserve">, since larger organisations may have more capacity and resources to devote to multiple income streams. Relatedly, newer organisations may also lack the resources necessary to support diversified income streams (Chikoto-Schultz and Neely, 2016), so we control for </w:t>
      </w:r>
      <w:r>
        <w:rPr>
          <w:i/>
          <w:iCs/>
        </w:rPr>
        <w:t>age</w:t>
      </w:r>
      <w:r>
        <w:t xml:space="preserve">. Size is measured by total income, and age by years since foundation. </w:t>
      </w:r>
    </w:p>
    <w:p w14:paraId="0EA25529" w14:textId="77777777" w:rsidR="007E003F" w:rsidRDefault="00E877AB">
      <w:pPr>
        <w:pBdr>
          <w:top w:val="nil"/>
          <w:left w:val="nil"/>
          <w:bottom w:val="nil"/>
          <w:right w:val="nil"/>
          <w:between w:val="nil"/>
        </w:pBdr>
        <w:spacing w:line="480" w:lineRule="auto"/>
        <w:ind w:firstLine="720"/>
      </w:pPr>
      <w:r>
        <w:rPr>
          <w:i/>
          <w:iCs/>
        </w:rPr>
        <w:t>Professionalization</w:t>
      </w:r>
      <w:r>
        <w:t xml:space="preserve"> is assumed to help nonprofits generate revenues from a commercial origin and included as a ratio variable measured through the number of full-time employees (FTEs), similarly to Eikenberry &amp; Kluver (2004) and Hwang &amp; Powell (2009). </w:t>
      </w:r>
    </w:p>
    <w:p w14:paraId="04A9CD88" w14:textId="77777777" w:rsidR="007E003F" w:rsidRDefault="00E877AB">
      <w:pPr>
        <w:pBdr>
          <w:top w:val="nil"/>
          <w:left w:val="nil"/>
          <w:bottom w:val="nil"/>
          <w:right w:val="nil"/>
          <w:between w:val="nil"/>
        </w:pBdr>
        <w:spacing w:line="480" w:lineRule="auto"/>
        <w:ind w:firstLine="720"/>
      </w:pPr>
      <w:r>
        <w:lastRenderedPageBreak/>
        <w:t xml:space="preserve">We control for the differences between the subsidizing authorities with </w:t>
      </w:r>
      <w:r>
        <w:rPr>
          <w:i/>
          <w:iCs/>
        </w:rPr>
        <w:t xml:space="preserve">subsidizer </w:t>
      </w:r>
      <w:r>
        <w:t>as an ordinal variable with three categories: “OCW” (organisations subsidized by the national ministry of culture), “FPA” (organisations granted by the Funds for performing arts), and “other” (organisations that are subsidized, but not by OCW or FPA). We operationalized the variable relying on the logic that OCW grants the biggest amount, followed by FPA, and others. </w:t>
      </w:r>
    </w:p>
    <w:p w14:paraId="013E8066" w14:textId="77777777" w:rsidR="007E003F" w:rsidRDefault="00E877AB">
      <w:pPr>
        <w:pBdr>
          <w:top w:val="nil"/>
          <w:left w:val="nil"/>
          <w:bottom w:val="nil"/>
          <w:right w:val="nil"/>
          <w:between w:val="nil"/>
        </w:pBdr>
        <w:spacing w:line="480" w:lineRule="auto"/>
        <w:ind w:firstLine="720"/>
      </w:pPr>
      <w:r>
        <w:rPr>
          <w:i/>
          <w:iCs/>
        </w:rPr>
        <w:t>Organisation</w:t>
      </w:r>
      <w:r>
        <w:t xml:space="preserve"> is an identifier nominal variable comprising each organisation's pseudonyms. Tables 3 and 4 present the variables’ summary statistics.</w:t>
      </w:r>
    </w:p>
    <w:p w14:paraId="55D0800D" w14:textId="77777777" w:rsidR="007E003F" w:rsidRDefault="007E003F"/>
    <w:p w14:paraId="3ACD5900" w14:textId="77777777" w:rsidR="007E003F" w:rsidRDefault="007E003F"/>
    <w:p w14:paraId="72DC37FA" w14:textId="77777777" w:rsidR="007E003F" w:rsidRDefault="00E877AB">
      <w:pPr>
        <w:pBdr>
          <w:top w:val="nil"/>
          <w:left w:val="nil"/>
          <w:bottom w:val="nil"/>
          <w:right w:val="nil"/>
          <w:between w:val="nil"/>
        </w:pBdr>
        <w:spacing w:line="480" w:lineRule="auto"/>
      </w:pPr>
      <w:r>
        <w:rPr>
          <w:b/>
          <w:bCs/>
        </w:rPr>
        <w:t>Model</w:t>
      </w:r>
    </w:p>
    <w:p w14:paraId="055C7001" w14:textId="77777777" w:rsidR="007E003F" w:rsidRDefault="00E877AB">
      <w:pPr>
        <w:spacing w:line="480" w:lineRule="auto"/>
      </w:pPr>
      <w:r>
        <w:t xml:space="preserve">The objective of this study is to model financial independence on the level of earned revenues mission-embeddedness. However, the distribution of the observations across the variables </w:t>
      </w:r>
      <w:r>
        <w:rPr>
          <w:i/>
          <w:iCs/>
        </w:rPr>
        <w:t>Organisation</w:t>
      </w:r>
      <w:r>
        <w:t xml:space="preserve"> and </w:t>
      </w:r>
      <w:r>
        <w:rPr>
          <w:i/>
          <w:iCs/>
        </w:rPr>
        <w:t xml:space="preserve">Subsidizer </w:t>
      </w:r>
      <w:r>
        <w:t xml:space="preserve">was heterogeneous. Specifically, the number of financial statements per organisation varied, and these financial statements were drawn from different fiscal years and collected from three types of organisations: OCW, FPA, and others. To address this heterogeneity, we employed a mixed-effects model (Galecki &amp; Burzykowsky, 2013), treating </w:t>
      </w:r>
      <w:r>
        <w:rPr>
          <w:i/>
          <w:iCs/>
        </w:rPr>
        <w:t>Organisation</w:t>
      </w:r>
      <w:r>
        <w:t xml:space="preserve">, and </w:t>
      </w:r>
      <w:r>
        <w:rPr>
          <w:i/>
          <w:iCs/>
        </w:rPr>
        <w:t xml:space="preserve">Subsidizer </w:t>
      </w:r>
      <w:r>
        <w:t xml:space="preserve">as random effects. The remaining independent variables (IVs) were treated as fixed effects due to their consistency across observations. </w:t>
      </w:r>
    </w:p>
    <w:p w14:paraId="46418558" w14:textId="77777777" w:rsidR="007E003F" w:rsidRDefault="00E877AB">
      <w:pPr>
        <w:spacing w:line="480" w:lineRule="auto"/>
        <w:ind w:firstLine="720"/>
      </w:pPr>
      <w:r>
        <w:t xml:space="preserve">We conducted the analysis in two stages. In the first stage, we performed univariable linear mixed-effects model to examine the relationship between each IV and each dependent variable (DV) OIR₁, OIR₂, and OIR₃ to identify potential IVs for the final multivariable models. Following Dahiru (2011), to minimize false negatives, IVs were included in multivariable regressions if they predicted DVs with a p-value less than 0.1. In the second stage, we applied multivariable linear mixed-effects models to the selected IVs for each DV (OIR₁, OIR₂, and OIR₃). We estimated </w:t>
      </w:r>
      <w:r>
        <w:rPr>
          <w:highlight w:val="white"/>
        </w:rPr>
        <w:t xml:space="preserve">three separate multivariable models, each with a single </w:t>
      </w:r>
      <w:r>
        <w:rPr>
          <w:highlight w:val="white"/>
        </w:rPr>
        <w:lastRenderedPageBreak/>
        <w:t xml:space="preserve">DV, corresponding to one of the three variables representing a specific facet of financial independence. </w:t>
      </w:r>
      <w:r>
        <w:t xml:space="preserve">The objective was to identify the most effective predictive model for each DV. The models were estimated using Maximum Likelihood Estimation, accounting for the heterogeneity by including the random-effects in the model (Verbeke &amp; Molenberghs, 1997). Model selection was performed through a Stepwise selection process, using a p-value threshold of 0.05 The final model was selected based on the Akaike information criterion (AIC) values of different options. To assess model performance, we used marginal R squared (R²m) and conditional R squared (R²c) to quantify the explained variance. The Variance Inflation Factor (VIF) was employed to detect multicollinearity, and the intra-class correlation coefficient (ICC) was calculated to assess the heterogeneity's magnitude among the categories of </w:t>
      </w:r>
      <w:r>
        <w:rPr>
          <w:i/>
          <w:iCs/>
        </w:rPr>
        <w:t>Organisation</w:t>
      </w:r>
      <w:r>
        <w:t xml:space="preserve"> and </w:t>
      </w:r>
      <w:r>
        <w:rPr>
          <w:i/>
          <w:iCs/>
        </w:rPr>
        <w:t>Subsidizer</w:t>
      </w:r>
      <w:r>
        <w:t>. Prior to conducting the regressions, we performed multiple imputation using the Classification and Regression Trees (CART) algorithm, which handles multicollinearity and supports all measurement scales (Van Buuren, 2018). All analyses were conducted using statistical program R language version 4.3.1. (R Core Team, 2023).</w:t>
      </w:r>
    </w:p>
    <w:p w14:paraId="5AA55689" w14:textId="77777777" w:rsidR="007E003F" w:rsidRDefault="007E003F"/>
    <w:p w14:paraId="13F5B03F" w14:textId="77777777" w:rsidR="007E003F" w:rsidRDefault="00E877AB">
      <w:pPr>
        <w:numPr>
          <w:ilvl w:val="0"/>
          <w:numId w:val="1"/>
        </w:numPr>
        <w:spacing w:line="480" w:lineRule="auto"/>
        <w:jc w:val="center"/>
      </w:pPr>
      <w:r>
        <w:t>insert Table 3 about here   -</w:t>
      </w:r>
    </w:p>
    <w:p w14:paraId="537718A2" w14:textId="77777777" w:rsidR="007E003F" w:rsidRDefault="007E003F">
      <w:pPr>
        <w:spacing w:line="480" w:lineRule="auto"/>
        <w:jc w:val="center"/>
      </w:pPr>
    </w:p>
    <w:p w14:paraId="1AF8DE17" w14:textId="77777777" w:rsidR="007E003F" w:rsidRDefault="00E877AB">
      <w:pPr>
        <w:numPr>
          <w:ilvl w:val="0"/>
          <w:numId w:val="1"/>
        </w:numPr>
        <w:spacing w:line="480" w:lineRule="auto"/>
        <w:jc w:val="center"/>
      </w:pPr>
      <w:r>
        <w:t>insert Table 4 about here   -</w:t>
      </w:r>
    </w:p>
    <w:p w14:paraId="586CC6A9" w14:textId="77777777" w:rsidR="007E003F" w:rsidRDefault="007E003F">
      <w:pPr>
        <w:spacing w:line="480" w:lineRule="auto"/>
        <w:ind w:left="720"/>
        <w:jc w:val="center"/>
      </w:pPr>
    </w:p>
    <w:p w14:paraId="600E24F9" w14:textId="77777777" w:rsidR="007E003F" w:rsidRDefault="00E877AB">
      <w:pPr>
        <w:pBdr>
          <w:top w:val="nil"/>
          <w:left w:val="nil"/>
          <w:bottom w:val="nil"/>
          <w:right w:val="nil"/>
          <w:between w:val="nil"/>
        </w:pBdr>
        <w:spacing w:line="480" w:lineRule="auto"/>
      </w:pPr>
      <w:r>
        <w:rPr>
          <w:b/>
          <w:bCs/>
          <w:sz w:val="30"/>
          <w:szCs w:val="30"/>
        </w:rPr>
        <w:t>Results </w:t>
      </w:r>
    </w:p>
    <w:p w14:paraId="19AD4DA9" w14:textId="77777777" w:rsidR="007E003F" w:rsidRDefault="00E877AB">
      <w:pPr>
        <w:pBdr>
          <w:top w:val="nil"/>
          <w:left w:val="nil"/>
          <w:bottom w:val="nil"/>
          <w:right w:val="nil"/>
          <w:between w:val="nil"/>
        </w:pBdr>
        <w:spacing w:line="480" w:lineRule="auto"/>
      </w:pPr>
      <w:r>
        <w:rPr>
          <w:b/>
          <w:bCs/>
        </w:rPr>
        <w:t>Clustering </w:t>
      </w:r>
    </w:p>
    <w:p w14:paraId="288900C5" w14:textId="77777777" w:rsidR="007E003F" w:rsidRDefault="00E877AB">
      <w:pPr>
        <w:spacing w:line="480" w:lineRule="auto"/>
      </w:pPr>
      <w:r>
        <w:t xml:space="preserve">To create the variable measuring the level of earned revenue embeddedness, we performed a hierarchical clustering analysis as described above. It led to the formation of two main clusters based on similarities in embeddedness levels. Cluster 1 (higher embeddedness EI) </w:t>
      </w:r>
      <w:r>
        <w:lastRenderedPageBreak/>
        <w:t>comprises audience, co-production, and other EI sections. It includes embedded and integrated earned revenues</w:t>
      </w:r>
      <w:r>
        <w:rPr>
          <w:i/>
          <w:iCs/>
        </w:rPr>
        <w:t xml:space="preserve">. </w:t>
      </w:r>
      <w:r>
        <w:t>Cluster 2 (lower embeddedness EI) comprises sponsor and indirect income sections. It encompasses embedded, integrated, and external earned revenues.</w:t>
      </w:r>
      <w:r>
        <w:rPr>
          <w:i/>
          <w:iCs/>
        </w:rPr>
        <w:t xml:space="preserve"> </w:t>
      </w:r>
      <w:r>
        <w:t xml:space="preserve">As shown in Table </w:t>
      </w:r>
      <w:r>
        <w:rPr>
          <w:b/>
          <w:bCs/>
        </w:rPr>
        <w:t>5</w:t>
      </w:r>
      <w:r>
        <w:t>, an independent sample t-test revealed that Cluster 1 had a significantly higher embeddedness (</w:t>
      </w:r>
      <w:r>
        <w:rPr>
          <w:i/>
          <w:iCs/>
        </w:rPr>
        <w:t>M</w:t>
      </w:r>
      <w:r>
        <w:t> = 2.47) compared to Cluster 2 (</w:t>
      </w:r>
      <w:r>
        <w:rPr>
          <w:i/>
          <w:iCs/>
        </w:rPr>
        <w:t>M</w:t>
      </w:r>
      <w:r>
        <w:t> = 1.43), </w:t>
      </w:r>
      <w:r>
        <w:rPr>
          <w:i/>
          <w:iCs/>
        </w:rPr>
        <w:t>t </w:t>
      </w:r>
      <w:r>
        <w:t>(257.84) = 16.766, </w:t>
      </w:r>
      <w:r>
        <w:rPr>
          <w:i/>
          <w:iCs/>
        </w:rPr>
        <w:t>p</w:t>
      </w:r>
      <w:r>
        <w:t> &lt; 0.001, 95% </w:t>
      </w:r>
      <w:r>
        <w:rPr>
          <w:i/>
          <w:iCs/>
        </w:rPr>
        <w:t>CI </w:t>
      </w:r>
      <w:r>
        <w:t xml:space="preserve">[0.92 – 1.16] confirming that EI can be effectively divided into two distinct clusters according to their levels of embeddedness. </w:t>
      </w:r>
    </w:p>
    <w:p w14:paraId="2AEF5E22" w14:textId="77777777" w:rsidR="007E003F" w:rsidRDefault="007E003F">
      <w:pPr>
        <w:spacing w:line="480" w:lineRule="auto"/>
      </w:pPr>
    </w:p>
    <w:p w14:paraId="3BFB0CA7" w14:textId="77777777" w:rsidR="007E003F" w:rsidRDefault="00E877AB">
      <w:pPr>
        <w:numPr>
          <w:ilvl w:val="0"/>
          <w:numId w:val="1"/>
        </w:numPr>
        <w:spacing w:line="480" w:lineRule="auto"/>
        <w:jc w:val="center"/>
      </w:pPr>
      <w:r>
        <w:t>insert Table 5 about here   -</w:t>
      </w:r>
    </w:p>
    <w:p w14:paraId="29213564" w14:textId="77777777" w:rsidR="007E003F" w:rsidRDefault="007E003F">
      <w:pPr>
        <w:pBdr>
          <w:top w:val="nil"/>
          <w:left w:val="nil"/>
          <w:bottom w:val="nil"/>
          <w:right w:val="nil"/>
          <w:between w:val="nil"/>
        </w:pBdr>
        <w:spacing w:line="480" w:lineRule="auto"/>
        <w:rPr>
          <w:b/>
          <w:bCs/>
        </w:rPr>
      </w:pPr>
    </w:p>
    <w:p w14:paraId="7A0A052E" w14:textId="77777777" w:rsidR="007E003F" w:rsidRDefault="00E877AB">
      <w:pPr>
        <w:pBdr>
          <w:top w:val="nil"/>
          <w:left w:val="nil"/>
          <w:bottom w:val="nil"/>
          <w:right w:val="nil"/>
          <w:between w:val="nil"/>
        </w:pBdr>
        <w:spacing w:line="480" w:lineRule="auto"/>
      </w:pPr>
      <w:r>
        <w:rPr>
          <w:b/>
          <w:bCs/>
        </w:rPr>
        <w:t>Multivariable linear mixed-effects regressions</w:t>
      </w:r>
    </w:p>
    <w:p w14:paraId="6D75BD54" w14:textId="77777777" w:rsidR="007E003F" w:rsidRDefault="00E877AB">
      <w:pPr>
        <w:pBdr>
          <w:top w:val="nil"/>
          <w:left w:val="nil"/>
          <w:bottom w:val="nil"/>
          <w:right w:val="nil"/>
          <w:between w:val="nil"/>
        </w:pBdr>
        <w:spacing w:line="480" w:lineRule="auto"/>
      </w:pPr>
      <w:r>
        <w:t>To assess the impact of the level of earned revenue embeddedness on financial independence in Dutch dance organisations, we conducted multivariable mixed-effects linear regression analyses. Table </w:t>
      </w:r>
      <w:r>
        <w:rPr>
          <w:b/>
          <w:bCs/>
        </w:rPr>
        <w:t>6</w:t>
      </w:r>
      <w:r>
        <w:t> shows the results of the most predictive models for OIR₁, OIR₂, and OIR₃. Both the R2m and R2c and the ICC statistics justified using a mixed-effects model with </w:t>
      </w:r>
      <w:r>
        <w:rPr>
          <w:i/>
          <w:iCs/>
        </w:rPr>
        <w:t>Organisation</w:t>
      </w:r>
      <w:r>
        <w:t> and </w:t>
      </w:r>
      <w:r>
        <w:rPr>
          <w:i/>
          <w:iCs/>
        </w:rPr>
        <w:t>Subsidizer</w:t>
      </w:r>
      <w:r>
        <w:t> random intercepts. The R2m values were 0.16, 0.28, and 0.26 for the models predicting </w:t>
      </w:r>
      <w:r>
        <w:rPr>
          <w:i/>
          <w:iCs/>
        </w:rPr>
        <w:t xml:space="preserve">OIR₁, OIR₂, </w:t>
      </w:r>
      <w:r>
        <w:t>and</w:t>
      </w:r>
      <w:r>
        <w:rPr>
          <w:i/>
          <w:iCs/>
        </w:rPr>
        <w:t xml:space="preserve"> OIR₃, </w:t>
      </w:r>
      <w:r>
        <w:t>respectively. The R2c values were 0.95, 0.93, and 0.85 for the models predicting </w:t>
      </w:r>
      <w:r>
        <w:rPr>
          <w:i/>
          <w:iCs/>
        </w:rPr>
        <w:t xml:space="preserve">OIR₁, OIR₂, </w:t>
      </w:r>
      <w:r>
        <w:t>and</w:t>
      </w:r>
      <w:r>
        <w:rPr>
          <w:i/>
          <w:iCs/>
        </w:rPr>
        <w:t xml:space="preserve"> OIR₃, </w:t>
      </w:r>
      <w:r>
        <w:t>respectively. The considerable difference between R2c and R2m values highlights the importance of random intercepts in our model. The random intercepts, which account for most of the variance, demonstrate the significant impact of group-level variability in our data. The mixed-effects model captures the complexities that a simple fixed-effects model would overlook. Further, the ICC estimate for the random intercept </w:t>
      </w:r>
      <w:r>
        <w:rPr>
          <w:i/>
          <w:iCs/>
        </w:rPr>
        <w:t>Organisation</w:t>
      </w:r>
      <w:r>
        <w:t xml:space="preserve"> was 0.86, 0.68, and 0.79, respectively, in the models predicting </w:t>
      </w:r>
      <w:r>
        <w:rPr>
          <w:i/>
          <w:iCs/>
        </w:rPr>
        <w:t>OIR₁</w:t>
      </w:r>
      <w:r>
        <w:t xml:space="preserve">, </w:t>
      </w:r>
      <w:r>
        <w:rPr>
          <w:i/>
          <w:iCs/>
        </w:rPr>
        <w:t>OIR₂</w:t>
      </w:r>
      <w:r>
        <w:t xml:space="preserve">, and </w:t>
      </w:r>
      <w:r>
        <w:rPr>
          <w:i/>
          <w:iCs/>
        </w:rPr>
        <w:t>OIR₃</w:t>
      </w:r>
      <w:r>
        <w:t xml:space="preserve">. The first model revealed high heterogeneity among organisations, while the last two models showed substantial heterogeneity. The ICC estimate </w:t>
      </w:r>
      <w:r>
        <w:lastRenderedPageBreak/>
        <w:t>for the random intercept </w:t>
      </w:r>
      <w:r>
        <w:rPr>
          <w:i/>
          <w:iCs/>
        </w:rPr>
        <w:t>Subsidizer</w:t>
      </w:r>
      <w:r>
        <w:t xml:space="preserve"> was found to be 0.92, 0.87, and 0.59, respectively, in the models predicting </w:t>
      </w:r>
      <w:r>
        <w:rPr>
          <w:i/>
          <w:iCs/>
        </w:rPr>
        <w:t>OIR₁</w:t>
      </w:r>
      <w:r>
        <w:t xml:space="preserve">, </w:t>
      </w:r>
      <w:r>
        <w:rPr>
          <w:i/>
          <w:iCs/>
        </w:rPr>
        <w:t>OIR₂</w:t>
      </w:r>
      <w:r>
        <w:t xml:space="preserve">, and </w:t>
      </w:r>
      <w:r>
        <w:rPr>
          <w:i/>
          <w:iCs/>
        </w:rPr>
        <w:t>OIR₃</w:t>
      </w:r>
      <w:r>
        <w:t>. The first two models displayed high heterogeneity, while the last model displayed moderate heterogeneity. The moderate to high heterogeneity across all models supports our decision to adopt mixed-effects models with the </w:t>
      </w:r>
      <w:r>
        <w:rPr>
          <w:i/>
          <w:iCs/>
        </w:rPr>
        <w:t>Organisation </w:t>
      </w:r>
      <w:r>
        <w:t>and</w:t>
      </w:r>
      <w:r>
        <w:rPr>
          <w:i/>
          <w:iCs/>
        </w:rPr>
        <w:t xml:space="preserve"> Subsidizer </w:t>
      </w:r>
      <w:r>
        <w:t>intercepts, which adequately capture the underlying variability. The VIF ranged between 1.03 and 1.95, i.e., not high enough to raise red flags concerning multicollinearity.</w:t>
      </w:r>
    </w:p>
    <w:p w14:paraId="58ED3706" w14:textId="77777777" w:rsidR="007E003F" w:rsidRDefault="00E877AB">
      <w:pPr>
        <w:spacing w:line="480" w:lineRule="auto"/>
        <w:ind w:firstLine="720"/>
      </w:pPr>
      <w:r>
        <w:rPr>
          <w:i/>
          <w:iCs/>
        </w:rPr>
        <w:t>Higher embedded EI amount</w:t>
      </w:r>
      <w:r>
        <w:t xml:space="preserve"> showed a positive association with </w:t>
      </w:r>
      <w:r>
        <w:rPr>
          <w:i/>
          <w:iCs/>
        </w:rPr>
        <w:t>OIR₁</w:t>
      </w:r>
      <w:r>
        <w:t>, </w:t>
      </w:r>
      <w:r>
        <w:rPr>
          <w:i/>
          <w:iCs/>
        </w:rPr>
        <w:t>b*</w:t>
      </w:r>
      <w:r>
        <w:t> = 0.05, </w:t>
      </w:r>
      <w:r>
        <w:rPr>
          <w:i/>
          <w:iCs/>
        </w:rPr>
        <w:t>SE</w:t>
      </w:r>
      <w:r>
        <w:t> = 0.01, </w:t>
      </w:r>
      <w:r>
        <w:rPr>
          <w:i/>
          <w:iCs/>
        </w:rPr>
        <w:t>t</w:t>
      </w:r>
      <w:r>
        <w:t>(97.69) = 3.57, </w:t>
      </w:r>
      <w:r>
        <w:rPr>
          <w:i/>
          <w:iCs/>
        </w:rPr>
        <w:t>p</w:t>
      </w:r>
      <w:r>
        <w:t> &lt; 0.001, 95% </w:t>
      </w:r>
      <w:r>
        <w:rPr>
          <w:i/>
          <w:iCs/>
        </w:rPr>
        <w:t>CI</w:t>
      </w:r>
      <w:r>
        <w:t xml:space="preserve"> [0.02, 0.08]. To provide an example, consider an organisation with an </w:t>
      </w:r>
      <w:r>
        <w:rPr>
          <w:i/>
          <w:iCs/>
        </w:rPr>
        <w:t>Higher embedded EI amount</w:t>
      </w:r>
      <w:r>
        <w:t xml:space="preserve"> of €10,000 (the minimum </w:t>
      </w:r>
      <w:r>
        <w:rPr>
          <w:i/>
          <w:iCs/>
        </w:rPr>
        <w:t>Higher embedded EI amount</w:t>
      </w:r>
      <w:r>
        <w:t xml:space="preserve"> in the dataset). If this company were to increase this amount by €50,000—a realistic and practical increment given that the median </w:t>
      </w:r>
      <w:r>
        <w:rPr>
          <w:i/>
          <w:iCs/>
        </w:rPr>
        <w:t>Higher embedded EI amount</w:t>
      </w:r>
      <w:r>
        <w:t xml:space="preserve"> in our sample is €37,000—the </w:t>
      </w:r>
      <w:r>
        <w:rPr>
          <w:i/>
          <w:iCs/>
        </w:rPr>
        <w:t>OIR₁</w:t>
      </w:r>
      <w:r>
        <w:t xml:space="preserve"> would increase by 2.5%. This is a meaningful increase in the Dutch case, where percentages of </w:t>
      </w:r>
      <w:r>
        <w:rPr>
          <w:i/>
          <w:iCs/>
        </w:rPr>
        <w:t>OIR₁</w:t>
      </w:r>
      <w:r>
        <w:t xml:space="preserve"> between 12.5% and 25% were required. Hence, compared to organisations having higher EI with lower embeddedness, those generating higher EI with higher embeddedness do rely more on own-income and less on subsidies. Ultimately, a higher level of embeddedness has a beneficial significant impact; conversely, a lower level has no significant impact. </w:t>
      </w:r>
    </w:p>
    <w:p w14:paraId="1F64D698" w14:textId="77777777" w:rsidR="007E003F" w:rsidRDefault="00E877AB">
      <w:pPr>
        <w:spacing w:line="480" w:lineRule="auto"/>
        <w:ind w:firstLine="720"/>
      </w:pPr>
      <w:r>
        <w:rPr>
          <w:i/>
          <w:iCs/>
        </w:rPr>
        <w:t>Higher embeddedness EI proportion</w:t>
      </w:r>
      <w:r>
        <w:t> positively associated with</w:t>
      </w:r>
      <w:r>
        <w:rPr>
          <w:i/>
          <w:iCs/>
        </w:rPr>
        <w:t> OIR₂</w:t>
      </w:r>
      <w:r>
        <w:t>, </w:t>
      </w:r>
      <w:r>
        <w:rPr>
          <w:i/>
          <w:iCs/>
        </w:rPr>
        <w:t>b*</w:t>
      </w:r>
      <w:r>
        <w:t> = 1.04, </w:t>
      </w:r>
      <w:r>
        <w:rPr>
          <w:i/>
          <w:iCs/>
        </w:rPr>
        <w:t>SE</w:t>
      </w:r>
      <w:r>
        <w:t> =</w:t>
      </w:r>
      <w:r>
        <w:rPr>
          <w:i/>
          <w:iCs/>
        </w:rPr>
        <w:t> </w:t>
      </w:r>
      <w:r>
        <w:t>0.42</w:t>
      </w:r>
      <w:r>
        <w:rPr>
          <w:i/>
          <w:iCs/>
        </w:rPr>
        <w:t>, t</w:t>
      </w:r>
      <w:r>
        <w:t>(80.13)</w:t>
      </w:r>
      <w:r>
        <w:rPr>
          <w:i/>
          <w:iCs/>
        </w:rPr>
        <w:t> = 2.45</w:t>
      </w:r>
      <w:r>
        <w:t>,</w:t>
      </w:r>
      <w:r>
        <w:rPr>
          <w:i/>
          <w:iCs/>
        </w:rPr>
        <w:t> p </w:t>
      </w:r>
      <w:r>
        <w:t>= 0.017, 95% </w:t>
      </w:r>
      <w:r>
        <w:rPr>
          <w:i/>
          <w:iCs/>
        </w:rPr>
        <w:t>CI </w:t>
      </w:r>
      <w:r>
        <w:t>[0.19, 1.88]. With every 1% increase in </w:t>
      </w:r>
      <w:r>
        <w:rPr>
          <w:i/>
          <w:iCs/>
        </w:rPr>
        <w:t>Higher embeddedness EI</w:t>
      </w:r>
      <w:r>
        <w:t> </w:t>
      </w:r>
      <w:r>
        <w:rPr>
          <w:i/>
          <w:iCs/>
        </w:rPr>
        <w:t>proportion</w:t>
      </w:r>
      <w:r>
        <w:t>, </w:t>
      </w:r>
      <w:r>
        <w:rPr>
          <w:i/>
          <w:iCs/>
        </w:rPr>
        <w:t>OIR₂</w:t>
      </w:r>
      <w:r>
        <w:t xml:space="preserve"> increases by 1.04 %. To provide an example, if an organisation increases its </w:t>
      </w:r>
      <w:r>
        <w:rPr>
          <w:i/>
          <w:iCs/>
        </w:rPr>
        <w:t>Higher embeddedness EI</w:t>
      </w:r>
      <w:r>
        <w:t> </w:t>
      </w:r>
      <w:r>
        <w:rPr>
          <w:i/>
          <w:iCs/>
        </w:rPr>
        <w:t>proportion</w:t>
      </w:r>
      <w:r>
        <w:t xml:space="preserve"> from 62% (the minimum </w:t>
      </w:r>
      <w:r>
        <w:rPr>
          <w:i/>
          <w:iCs/>
        </w:rPr>
        <w:t xml:space="preserve">Higher embedded EI proportion </w:t>
      </w:r>
      <w:r>
        <w:t xml:space="preserve">in the dataset) to the median value of 95%, the </w:t>
      </w:r>
      <w:r>
        <w:rPr>
          <w:i/>
          <w:iCs/>
        </w:rPr>
        <w:t>OIR₂</w:t>
      </w:r>
      <w:r>
        <w:t xml:space="preserve"> would increase by approximately 34.32%. Therefore, compared to organisations with a higher </w:t>
      </w:r>
      <w:r>
        <w:lastRenderedPageBreak/>
        <w:t>proportion of EI with lower embeddedness, organisations with a higher EI proportion with higher embeddedness do rely more on self-generated income and less on structural subsidies.</w:t>
      </w:r>
    </w:p>
    <w:p w14:paraId="7A8950E5" w14:textId="77777777" w:rsidR="007E003F" w:rsidRDefault="00E877AB">
      <w:pPr>
        <w:spacing w:line="480" w:lineRule="auto"/>
        <w:ind w:firstLine="720"/>
        <w:rPr>
          <w:highlight w:val="yellow"/>
        </w:rPr>
      </w:pPr>
      <w:r>
        <w:rPr>
          <w:i/>
          <w:iCs/>
        </w:rPr>
        <w:t>RC</w:t>
      </w:r>
      <w:r>
        <w:t> associated negatively with all financial independence ratios: </w:t>
      </w:r>
      <w:r>
        <w:rPr>
          <w:i/>
          <w:iCs/>
        </w:rPr>
        <w:t>OIR₁</w:t>
      </w:r>
      <w:r>
        <w:t>, </w:t>
      </w:r>
      <w:r>
        <w:rPr>
          <w:i/>
          <w:iCs/>
        </w:rPr>
        <w:t>b*</w:t>
      </w:r>
      <w:r>
        <w:t> = -0.54, S</w:t>
      </w:r>
      <w:r>
        <w:rPr>
          <w:i/>
          <w:iCs/>
        </w:rPr>
        <w:t>E </w:t>
      </w:r>
      <w:r>
        <w:t>= 0.11, </w:t>
      </w:r>
      <w:r>
        <w:rPr>
          <w:i/>
          <w:iCs/>
        </w:rPr>
        <w:t>t</w:t>
      </w:r>
      <w:r>
        <w:t>(89.92) = -5.10, </w:t>
      </w:r>
      <w:r>
        <w:rPr>
          <w:i/>
          <w:iCs/>
        </w:rPr>
        <w:t>p</w:t>
      </w:r>
      <w:r>
        <w:t> &lt; 0.001, 95% </w:t>
      </w:r>
      <w:r>
        <w:rPr>
          <w:i/>
          <w:iCs/>
        </w:rPr>
        <w:t>CI</w:t>
      </w:r>
      <w:r>
        <w:t>  [-0.75, -0.32]; </w:t>
      </w:r>
      <w:r>
        <w:rPr>
          <w:i/>
          <w:iCs/>
        </w:rPr>
        <w:t>OIR₂, b*</w:t>
      </w:r>
      <w:r>
        <w:t> = -1.03, </w:t>
      </w:r>
      <w:r>
        <w:rPr>
          <w:i/>
          <w:iCs/>
        </w:rPr>
        <w:t>SE</w:t>
      </w:r>
      <w:r>
        <w:t> = 0.46, </w:t>
      </w:r>
      <w:r>
        <w:rPr>
          <w:i/>
          <w:iCs/>
        </w:rPr>
        <w:t>t</w:t>
      </w:r>
      <w:r>
        <w:t>(75.40) = -2.23, </w:t>
      </w:r>
      <w:r>
        <w:rPr>
          <w:i/>
          <w:iCs/>
        </w:rPr>
        <w:t>p</w:t>
      </w:r>
      <w:r>
        <w:t> = 0.029, 95% </w:t>
      </w:r>
      <w:r>
        <w:rPr>
          <w:i/>
          <w:iCs/>
        </w:rPr>
        <w:t>CI</w:t>
      </w:r>
      <w:r>
        <w:t xml:space="preserve"> [-1.95, -0.11]; </w:t>
      </w:r>
      <w:r>
        <w:rPr>
          <w:i/>
          <w:iCs/>
        </w:rPr>
        <w:t>OIR₃</w:t>
      </w:r>
      <w:r>
        <w:t>, </w:t>
      </w:r>
      <w:r>
        <w:rPr>
          <w:i/>
          <w:iCs/>
        </w:rPr>
        <w:t>b*</w:t>
      </w:r>
      <w:r>
        <w:t> = -0.70, </w:t>
      </w:r>
      <w:r>
        <w:rPr>
          <w:i/>
          <w:iCs/>
        </w:rPr>
        <w:t>SE</w:t>
      </w:r>
      <w:r>
        <w:t> = 0.11, </w:t>
      </w:r>
      <w:r>
        <w:rPr>
          <w:i/>
          <w:iCs/>
        </w:rPr>
        <w:t>t</w:t>
      </w:r>
      <w:r>
        <w:t>(84.88) = -6.33, </w:t>
      </w:r>
      <w:r>
        <w:rPr>
          <w:i/>
          <w:iCs/>
        </w:rPr>
        <w:t>p</w:t>
      </w:r>
      <w:r>
        <w:t> &lt; 0.001, 95% </w:t>
      </w:r>
      <w:r>
        <w:rPr>
          <w:i/>
          <w:iCs/>
        </w:rPr>
        <w:t>CI</w:t>
      </w:r>
      <w:r>
        <w:t xml:space="preserve"> [-0.92, -0.48]. Hence, revenue diversification predicts the three ratios favourably. </w:t>
      </w:r>
    </w:p>
    <w:p w14:paraId="00F14C91" w14:textId="77777777" w:rsidR="007E003F" w:rsidRDefault="00E877AB">
      <w:pPr>
        <w:spacing w:line="480" w:lineRule="auto"/>
        <w:ind w:firstLine="720"/>
        <w:rPr>
          <w:highlight w:val="yellow"/>
        </w:rPr>
      </w:pPr>
      <w:r>
        <w:rPr>
          <w:i/>
          <w:iCs/>
        </w:rPr>
        <w:t>MER</w:t>
      </w:r>
      <w:r>
        <w:t> associated negatively with all financial independence measures: </w:t>
      </w:r>
      <w:r>
        <w:rPr>
          <w:i/>
          <w:iCs/>
        </w:rPr>
        <w:t>OIR₁</w:t>
      </w:r>
      <w:r>
        <w:t>, </w:t>
      </w:r>
      <w:r>
        <w:rPr>
          <w:i/>
          <w:iCs/>
        </w:rPr>
        <w:t>b*</w:t>
      </w:r>
      <w:r>
        <w:t> = -0.30, </w:t>
      </w:r>
      <w:r>
        <w:rPr>
          <w:i/>
          <w:iCs/>
        </w:rPr>
        <w:t>SE</w:t>
      </w:r>
      <w:r>
        <w:t>= 0.14, </w:t>
      </w:r>
      <w:r>
        <w:rPr>
          <w:i/>
          <w:iCs/>
        </w:rPr>
        <w:t>t</w:t>
      </w:r>
      <w:r>
        <w:t>(72.62) = -2.07, </w:t>
      </w:r>
      <w:r>
        <w:rPr>
          <w:i/>
          <w:iCs/>
        </w:rPr>
        <w:t>p</w:t>
      </w:r>
      <w:r>
        <w:t> = 0.042</w:t>
      </w:r>
      <w:r>
        <w:rPr>
          <w:b/>
          <w:bCs/>
        </w:rPr>
        <w:t>, </w:t>
      </w:r>
      <w:r>
        <w:t>95% </w:t>
      </w:r>
      <w:r>
        <w:rPr>
          <w:i/>
          <w:iCs/>
        </w:rPr>
        <w:t>CI</w:t>
      </w:r>
      <w:r>
        <w:t> [-0.58, -0.01]; </w:t>
      </w:r>
      <w:r>
        <w:rPr>
          <w:i/>
          <w:iCs/>
        </w:rPr>
        <w:t>OIR₂,</w:t>
      </w:r>
      <w:r>
        <w:t> </w:t>
      </w:r>
      <w:r>
        <w:rPr>
          <w:i/>
          <w:iCs/>
        </w:rPr>
        <w:t>b*</w:t>
      </w:r>
      <w:r>
        <w:t> = -3.73,</w:t>
      </w:r>
      <w:r>
        <w:rPr>
          <w:i/>
          <w:iCs/>
        </w:rPr>
        <w:t> SE </w:t>
      </w:r>
      <w:r>
        <w:t>= 0.71, </w:t>
      </w:r>
      <w:r>
        <w:rPr>
          <w:i/>
          <w:iCs/>
        </w:rPr>
        <w:t>t</w:t>
      </w:r>
      <w:r>
        <w:t>(86.86) = -5.25, </w:t>
      </w:r>
      <w:r>
        <w:rPr>
          <w:i/>
          <w:iCs/>
        </w:rPr>
        <w:t>p</w:t>
      </w:r>
      <w:r>
        <w:t> &lt; 0.001, 95% </w:t>
      </w:r>
      <w:r>
        <w:rPr>
          <w:i/>
          <w:iCs/>
        </w:rPr>
        <w:t>CI </w:t>
      </w:r>
      <w:r>
        <w:t xml:space="preserve">[-5.15, -2.32]; </w:t>
      </w:r>
      <w:r>
        <w:rPr>
          <w:i/>
          <w:iCs/>
        </w:rPr>
        <w:t>OIR₃</w:t>
      </w:r>
      <w:r>
        <w:t>, </w:t>
      </w:r>
      <w:r>
        <w:rPr>
          <w:i/>
          <w:iCs/>
        </w:rPr>
        <w:t>b*</w:t>
      </w:r>
      <w:r>
        <w:t> = -0.81, </w:t>
      </w:r>
      <w:r>
        <w:rPr>
          <w:i/>
          <w:iCs/>
        </w:rPr>
        <w:t>SE</w:t>
      </w:r>
      <w:r>
        <w:t> = 0.17, </w:t>
      </w:r>
      <w:r>
        <w:rPr>
          <w:i/>
          <w:iCs/>
        </w:rPr>
        <w:t>t</w:t>
      </w:r>
      <w:r>
        <w:t>(86.35) = -4.68, </w:t>
      </w:r>
      <w:r>
        <w:rPr>
          <w:i/>
          <w:iCs/>
        </w:rPr>
        <w:t>p</w:t>
      </w:r>
      <w:r>
        <w:t> &lt; 0.001, 95% </w:t>
      </w:r>
      <w:r>
        <w:rPr>
          <w:i/>
          <w:iCs/>
        </w:rPr>
        <w:t>CI</w:t>
      </w:r>
      <w:r>
        <w:t xml:space="preserve"> [-1.16, -0.46]. </w:t>
      </w:r>
    </w:p>
    <w:p w14:paraId="44131564" w14:textId="77777777" w:rsidR="007E003F" w:rsidRDefault="00E877AB">
      <w:pPr>
        <w:spacing w:line="480" w:lineRule="auto"/>
        <w:ind w:firstLine="720"/>
      </w:pPr>
      <w:r>
        <w:rPr>
          <w:i/>
          <w:iCs/>
        </w:rPr>
        <w:t>ER</w:t>
      </w:r>
      <w:r>
        <w:t> associated negatively with </w:t>
      </w:r>
      <w:r>
        <w:rPr>
          <w:i/>
          <w:iCs/>
        </w:rPr>
        <w:t>OIR₂, b*</w:t>
      </w:r>
      <w:r>
        <w:t> = -0.78, </w:t>
      </w:r>
      <w:r>
        <w:rPr>
          <w:i/>
          <w:iCs/>
        </w:rPr>
        <w:t>SE </w:t>
      </w:r>
      <w:r>
        <w:t>= 0.34, </w:t>
      </w:r>
      <w:r>
        <w:rPr>
          <w:i/>
          <w:iCs/>
        </w:rPr>
        <w:t>t</w:t>
      </w:r>
      <w:r>
        <w:t>(89.02) = -2.26, </w:t>
      </w:r>
      <w:r>
        <w:rPr>
          <w:i/>
          <w:iCs/>
        </w:rPr>
        <w:t>p</w:t>
      </w:r>
      <w:r>
        <w:t> = 0.026, 95% </w:t>
      </w:r>
      <w:r>
        <w:rPr>
          <w:i/>
          <w:iCs/>
        </w:rPr>
        <w:t>CI</w:t>
      </w:r>
      <w:r>
        <w:t> [-1.45, -.09]. The results suggest that the higher the equity over total revenues, the higher the reliance on structural subsidies versus own-income.</w:t>
      </w:r>
    </w:p>
    <w:p w14:paraId="2B287872" w14:textId="77777777" w:rsidR="007E003F" w:rsidRDefault="00E877AB">
      <w:pPr>
        <w:spacing w:line="480" w:lineRule="auto"/>
        <w:ind w:firstLine="720"/>
      </w:pPr>
      <w:r>
        <w:rPr>
          <w:i/>
          <w:iCs/>
        </w:rPr>
        <w:t>OM</w:t>
      </w:r>
      <w:r>
        <w:t xml:space="preserve"> associated negatively with </w:t>
      </w:r>
      <w:r>
        <w:rPr>
          <w:i/>
          <w:iCs/>
        </w:rPr>
        <w:t>OIR₁</w:t>
      </w:r>
      <w:r>
        <w:t>, </w:t>
      </w:r>
      <w:r>
        <w:rPr>
          <w:i/>
          <w:iCs/>
        </w:rPr>
        <w:t>b*</w:t>
      </w:r>
      <w:r>
        <w:t> = -0.22, </w:t>
      </w:r>
      <w:r>
        <w:rPr>
          <w:i/>
          <w:iCs/>
        </w:rPr>
        <w:t>p</w:t>
      </w:r>
      <w:r>
        <w:t> &lt; 0.001, </w:t>
      </w:r>
      <w:r>
        <w:rPr>
          <w:i/>
          <w:iCs/>
        </w:rPr>
        <w:t>SE </w:t>
      </w:r>
      <w:r>
        <w:t>= 0.05, </w:t>
      </w:r>
      <w:r>
        <w:rPr>
          <w:i/>
          <w:iCs/>
        </w:rPr>
        <w:t>t</w:t>
      </w:r>
      <w:r>
        <w:t>(79.66) = -4.53, 95% </w:t>
      </w:r>
      <w:r>
        <w:rPr>
          <w:i/>
          <w:iCs/>
        </w:rPr>
        <w:t>CI</w:t>
      </w:r>
      <w:r>
        <w:t xml:space="preserve"> [-0.32, -0.12]. </w:t>
      </w:r>
    </w:p>
    <w:p w14:paraId="4AA1678F" w14:textId="77777777" w:rsidR="007E003F" w:rsidRDefault="00E877AB">
      <w:pPr>
        <w:spacing w:line="480" w:lineRule="auto"/>
        <w:ind w:firstLine="720"/>
      </w:pPr>
      <w:r>
        <w:t xml:space="preserve">Summarized, the results largely support the main hypothesis, which is confirmed in two models: </w:t>
      </w:r>
      <w:r>
        <w:rPr>
          <w:i/>
          <w:iCs/>
        </w:rPr>
        <w:t xml:space="preserve">Higher embedded EI amount </w:t>
      </w:r>
      <w:r>
        <w:t>and</w:t>
      </w:r>
      <w:r>
        <w:rPr>
          <w:i/>
          <w:iCs/>
        </w:rPr>
        <w:t xml:space="preserve"> Higher embeddedness EI proportion</w:t>
      </w:r>
      <w:r>
        <w:t xml:space="preserve"> positively and significantly associate respectively with </w:t>
      </w:r>
      <w:r>
        <w:rPr>
          <w:i/>
          <w:iCs/>
        </w:rPr>
        <w:t>OIR₁</w:t>
      </w:r>
      <w:r>
        <w:t xml:space="preserve"> and  </w:t>
      </w:r>
      <w:r>
        <w:rPr>
          <w:i/>
          <w:iCs/>
        </w:rPr>
        <w:t>OIR₂.</w:t>
      </w:r>
    </w:p>
    <w:p w14:paraId="2D0EB0FE" w14:textId="77777777" w:rsidR="007E003F" w:rsidRDefault="007E003F">
      <w:pPr>
        <w:spacing w:line="480" w:lineRule="auto"/>
        <w:ind w:firstLine="720"/>
      </w:pPr>
    </w:p>
    <w:p w14:paraId="27A8C429" w14:textId="77777777" w:rsidR="007E003F" w:rsidRDefault="00E877AB">
      <w:pPr>
        <w:numPr>
          <w:ilvl w:val="0"/>
          <w:numId w:val="1"/>
        </w:numPr>
        <w:spacing w:line="480" w:lineRule="auto"/>
        <w:jc w:val="center"/>
      </w:pPr>
      <w:r>
        <w:t>insert Table 6 about here -</w:t>
      </w:r>
    </w:p>
    <w:p w14:paraId="107A221A" w14:textId="77777777" w:rsidR="007E003F" w:rsidRDefault="007E003F">
      <w:pPr>
        <w:rPr>
          <w:b/>
          <w:bCs/>
        </w:rPr>
      </w:pPr>
    </w:p>
    <w:p w14:paraId="387B04AE" w14:textId="77777777" w:rsidR="007E003F" w:rsidRDefault="007E003F"/>
    <w:p w14:paraId="626F5AC1" w14:textId="77777777" w:rsidR="007E003F" w:rsidRDefault="00E877AB">
      <w:pPr>
        <w:spacing w:line="480" w:lineRule="auto"/>
        <w:rPr>
          <w:b/>
          <w:bCs/>
          <w:sz w:val="30"/>
          <w:szCs w:val="30"/>
        </w:rPr>
      </w:pPr>
      <w:r>
        <w:rPr>
          <w:b/>
          <w:bCs/>
          <w:sz w:val="30"/>
          <w:szCs w:val="30"/>
        </w:rPr>
        <w:t>Discussion</w:t>
      </w:r>
    </w:p>
    <w:p w14:paraId="64F98C42" w14:textId="7E7F0211" w:rsidR="007E003F" w:rsidRDefault="00E877AB">
      <w:pPr>
        <w:spacing w:line="480" w:lineRule="auto"/>
      </w:pPr>
      <w:r>
        <w:t xml:space="preserve">In line with our aim to test the relationship between mission and money, the key takeaway of this paper is that the level of dance nonprofits’ revenue embeddedness is positively and </w:t>
      </w:r>
      <w:r>
        <w:lastRenderedPageBreak/>
        <w:t xml:space="preserve">significantly correlated with their financial independence from public funds. Previous studies provide mixed empirical evidence on the impact of nonprofit earned revenue activities; they can increase financial health but can also weaken the emphasis on organisations’ missions (Froelich, 1999; Hughes &amp; Luksetich, 2004). With our paper, we subvert this idea. </w:t>
      </w:r>
      <w:r w:rsidR="001C0456">
        <w:t>Like</w:t>
      </w:r>
      <w:r>
        <w:t xml:space="preserve"> Mas-Machuca et al. (2023) and Foster &amp; Bradach (2005), we demonstrate that dance organisations can achieve both their financial goals and artistic and social missions through EI activities. Specifically, </w:t>
      </w:r>
      <w:r>
        <w:rPr>
          <w:highlight w:val="white"/>
        </w:rPr>
        <w:t>our study indicates that dance nonprofits can lessen their reliance on state funding while achieving their core mission by organizing EI activities with higher embeddedness.</w:t>
      </w:r>
      <w:r>
        <w:t xml:space="preserve"> </w:t>
      </w:r>
    </w:p>
    <w:p w14:paraId="54869A44" w14:textId="77777777" w:rsidR="007E003F" w:rsidRDefault="00E877AB">
      <w:pPr>
        <w:spacing w:line="480" w:lineRule="auto"/>
        <w:ind w:firstLine="720"/>
      </w:pPr>
      <w:r>
        <w:t xml:space="preserve">Our results lead to four more observations. First, consistent with prior research on the benefits of diversified revenue structures (e.g., Tuckman &amp; Chang, 1994), we find that revenue diversification is positively associated with all indicators of financial independence from public funding. Building on the framework developed by Tuckman &amp; Chang (1991), which links diversification to financial stability and flexibility, our findings show that diversification is also associated with greater financial independence from public funding. We find that diversification allows Dutch dance nonprofits to rely less on subsidies in general, rely more on their own income versus structural subsidies, and depend less on their major structural subsidizer. This result suggests that dance nonprofits should explore multiple higher-embedded EI activities. </w:t>
      </w:r>
    </w:p>
    <w:p w14:paraId="4AD8F7D2" w14:textId="77777777" w:rsidR="007E003F" w:rsidRDefault="00E877AB">
      <w:pPr>
        <w:spacing w:line="480" w:lineRule="auto"/>
        <w:ind w:firstLine="720"/>
      </w:pPr>
      <w:r>
        <w:t xml:space="preserve">Second, the management expense ratio is significantly and negatively associated with two of the income ratios. Therefore, our results plausibly suggest that higher proportions of management costs versus program costs signal dance nonprofits’ limited engagement in program revenue activities. Prioritizing management spending over spending for artistic and ancillary activities likely leads to low program-related income, fewer resources for new EI activities, and a greater dependence on subsidies. </w:t>
      </w:r>
    </w:p>
    <w:p w14:paraId="00A81A52" w14:textId="77777777" w:rsidR="007E003F" w:rsidRDefault="00E877AB">
      <w:pPr>
        <w:spacing w:line="480" w:lineRule="auto"/>
        <w:ind w:firstLine="720"/>
        <w:rPr>
          <w:highlight w:val="green"/>
        </w:rPr>
      </w:pPr>
      <w:r>
        <w:lastRenderedPageBreak/>
        <w:t xml:space="preserve">Third, the equity ratio is significantly and negatively associated with one own-income ratio (OIR₂). This may indicate that dance nonprofits receiving substantial structural subsidies may prioritize accumulating assets for long-term financial stability. However, such strategies may crowd-out the investment in new or existing EI activities, which limit revenue generation and reinforce their dependence on structural subsidies in the long run. As such, our study indicates that dance nonprofits must balance long-term financial stability on one side and invest in EI activities on the other. Thus, while an adequate equity ratio benefits financial health (Tuckman &amp; Chang, 1991), it can hamper financial independence levels.     </w:t>
      </w:r>
    </w:p>
    <w:p w14:paraId="4C0665E6" w14:textId="77777777" w:rsidR="007E003F" w:rsidRDefault="00E877AB">
      <w:pPr>
        <w:spacing w:line="480" w:lineRule="auto"/>
        <w:ind w:firstLine="720"/>
      </w:pPr>
      <w:r>
        <w:t xml:space="preserve">Fourth, we find a significant negative association of operating margins with one own-income ratio (OIR₁). Positive operating margins suggest that nonprofits effectively manage their costs while producing revenues from their primary activities (Trussel &amp; Greenlee, 2004), resulting in a lower likelihood of debt and a higher likelihood of functioning at break-even or profitable levels. </w:t>
      </w:r>
    </w:p>
    <w:p w14:paraId="2C80058B" w14:textId="77777777" w:rsidR="007E003F" w:rsidRDefault="00E877AB">
      <w:pPr>
        <w:spacing w:line="480" w:lineRule="auto"/>
        <w:ind w:firstLine="720"/>
      </w:pPr>
      <w:r>
        <w:t xml:space="preserve">However, despite their financial efficiency, Dutch dance nonprofits with relatively higher operating margins possess lower own-income ratios than organisations with lower operating margins. In other words, while a sizable operational margin can indicate financial health and efficiency, it does not always imply a higher proportion of self-generated income. Several organisations with higher operating margins may have prioritized cost reduction and fund-seeking activities over revenue generation. Whereas Tuckman &amp; Chang (1991) suggest that nonprofits need positive operating margins to be financially stable and flexible in the face of financial distress, our results demonstrate that Dutch dance nonprofits with lower (including negative) operating margins are more financially independent from public funds. As such, our research indicates that even if operating margins positively correlate with financial stability and flexibility, they do not correlate with financial independence. Dance </w:t>
      </w:r>
      <w:r>
        <w:lastRenderedPageBreak/>
        <w:t xml:space="preserve">nonprofits must balance cost reduction and reliance on public funds on one side with investment and reliance on EI activities on the other. </w:t>
      </w:r>
    </w:p>
    <w:p w14:paraId="4FB96BA5" w14:textId="77777777" w:rsidR="001C0456" w:rsidRDefault="001C0456">
      <w:pPr>
        <w:spacing w:line="480" w:lineRule="auto"/>
        <w:rPr>
          <w:b/>
          <w:bCs/>
        </w:rPr>
      </w:pPr>
    </w:p>
    <w:p w14:paraId="5E65A15C" w14:textId="697F324C" w:rsidR="007E003F" w:rsidRDefault="00E877AB">
      <w:pPr>
        <w:spacing w:line="480" w:lineRule="auto"/>
      </w:pPr>
      <w:r>
        <w:rPr>
          <w:b/>
          <w:bCs/>
        </w:rPr>
        <w:t>Implications</w:t>
      </w:r>
    </w:p>
    <w:p w14:paraId="7BEC2AAC" w14:textId="77777777" w:rsidR="007E003F" w:rsidRDefault="00E877AB">
      <w:pPr>
        <w:spacing w:line="480" w:lineRule="auto"/>
      </w:pPr>
      <w:r>
        <w:t xml:space="preserve">The present research has implications for practice and policy. First, Dutch dance nonprofits may be engaging in earned income (EI) activities that they believe are tied to their core mission but are not. Engaging in such EI activities may harm dance nonprofits’ financial independence, demonstrated by the correlation between the EI activities’ level of embeddedness and financial independence. By reinterpreting EI activities based on the earned revenue embeddedness framework, Dutch dance nonprofits can make more informed decisions about allocating resources for activities with higher embeddedness, with the promise of a beneficial and significant impact on their financial independence. Strategically prioritizing activities according to the framework, may lead organisations to phasing out or decreasing less promising activities, allocating resources efficiently and effectively, and increasing their financial self-sufficiency and impact. Such a recommendation is in line with the argument about nonprofits’ sustainability advanced by Foster &amp; Bradach (2005). </w:t>
      </w:r>
    </w:p>
    <w:p w14:paraId="2E2E0A09" w14:textId="47085FC2" w:rsidR="007E003F" w:rsidRDefault="00E877AB">
      <w:pPr>
        <w:spacing w:line="480" w:lineRule="auto"/>
        <w:ind w:firstLine="720"/>
      </w:pPr>
      <w:r>
        <w:t xml:space="preserve">Second, EI with higher embeddedness is significantly and positively correlated with the two own-income ratios. If public funders wish organisations to be more financially independent from public funding (cf. </w:t>
      </w:r>
      <w:r w:rsidR="0009245C">
        <w:t>Loots</w:t>
      </w:r>
      <w:r>
        <w:t>, 2015), they should reconsider how they instruct organisations to categorize EI. Sponsorship and other EI sections should not be regarded as direct income, to avoid organisations engaging in EI activities thinking that they are connected to their core mission while they are not. In addition, to make nonprofits more financially independent from state funding, those nonprofits with higher embeddedness could be incentivized or rewarded.</w:t>
      </w:r>
    </w:p>
    <w:p w14:paraId="3743D75B" w14:textId="2202FC43" w:rsidR="007E003F" w:rsidRDefault="00E877AB">
      <w:pPr>
        <w:spacing w:line="480" w:lineRule="auto"/>
        <w:ind w:firstLine="720"/>
      </w:pPr>
      <w:r>
        <w:lastRenderedPageBreak/>
        <w:t>The subsidy allocation system for nonprofits can be paradoxical. Dutch funders prioritize financial self-sufficiency through income standards (</w:t>
      </w:r>
      <w:r w:rsidR="0009245C">
        <w:t>Loots</w:t>
      </w:r>
      <w:r>
        <w:t>, 2015), while proposing an inaccurate EI categorization (Levine Daniel, 2021) that prevents more financial independence. Efficient allocation may lead to larger numbers of organisations benefiting from funding, and thus a more diverse cultural offering, particularly in a context of constrained public support for dance nonprofits.</w:t>
      </w:r>
    </w:p>
    <w:p w14:paraId="40A9A0F7" w14:textId="77777777" w:rsidR="007E003F" w:rsidRDefault="00E877AB">
      <w:pPr>
        <w:spacing w:line="480" w:lineRule="auto"/>
        <w:ind w:firstLine="720"/>
      </w:pPr>
      <w:r>
        <w:rPr>
          <w:highlight w:val="white"/>
        </w:rPr>
        <w:t xml:space="preserve">Engagement in EI activities can be either reactive, due to subsidy cuts and policy constraints, or proactive, reflecting a deliberate strategy providing organisations with flexibility and control of their finances. Dutch dance nonprofits represent a mainly reactive scenario, but the insights are applicable also in proactive scenarios. However, organisations must avoid over-reliance on commercial revenue, as it can expose the organisation to market risk and legitimacy loss, thereby jeopardizing their survival (Gras &amp; Mendoza-A barca, 2014, </w:t>
      </w:r>
      <w:r>
        <w:rPr>
          <w:color w:val="1F1F1F"/>
          <w:highlight w:val="white"/>
        </w:rPr>
        <w:t>while revenue diversification may also entail higher accountability and administrative costs due to heterogeneous funder requirements (Froelich, 1999; Frumkin &amp; Keating, 2011).</w:t>
      </w:r>
      <w:r>
        <w:rPr>
          <w:highlight w:val="white"/>
        </w:rPr>
        <w:t xml:space="preserve"> </w:t>
      </w:r>
    </w:p>
    <w:p w14:paraId="4690F494" w14:textId="77777777" w:rsidR="007E003F" w:rsidRDefault="007E003F">
      <w:pPr>
        <w:spacing w:line="480" w:lineRule="auto"/>
        <w:ind w:firstLine="720"/>
      </w:pPr>
    </w:p>
    <w:p w14:paraId="4203AB3B" w14:textId="77777777" w:rsidR="007E003F" w:rsidRDefault="00E877AB">
      <w:pPr>
        <w:spacing w:line="480" w:lineRule="auto"/>
        <w:rPr>
          <w:b/>
          <w:bCs/>
          <w:sz w:val="18"/>
          <w:szCs w:val="18"/>
        </w:rPr>
      </w:pPr>
      <w:r>
        <w:rPr>
          <w:b/>
          <w:bCs/>
        </w:rPr>
        <w:t>Limitations</w:t>
      </w:r>
    </w:p>
    <w:p w14:paraId="21CCCBA1" w14:textId="2FF82B85" w:rsidR="007E003F" w:rsidRDefault="00E877AB">
      <w:pPr>
        <w:spacing w:line="480" w:lineRule="auto"/>
      </w:pPr>
      <w:r>
        <w:t xml:space="preserve">Like any study, ours has limitations. The population of Dutch dance nonprofits is limited, and in terms of data availability, less than half shared their financial statements publicly or privately. Financial statements from before 2011 were not available, those from the COVID-19 pandemic years were excluded because they would distort the analyses, and those from the 2021-2024 subsidy period </w:t>
      </w:r>
      <w:r w:rsidR="001C0456">
        <w:t xml:space="preserve">were excluded </w:t>
      </w:r>
      <w:r>
        <w:t xml:space="preserve">due to temporary rules and exemptions </w:t>
      </w:r>
      <w:r w:rsidR="001C0456">
        <w:t>that</w:t>
      </w:r>
      <w:r>
        <w:t xml:space="preserve"> reduced comparability with regular funding periods</w:t>
      </w:r>
      <w:r w:rsidR="001C0456">
        <w:t xml:space="preserve"> (such as the suspension of standard own-income requirements).</w:t>
      </w:r>
    </w:p>
    <w:p w14:paraId="48ACA71F" w14:textId="77777777" w:rsidR="007E003F" w:rsidRDefault="00E877AB">
      <w:pPr>
        <w:spacing w:line="480" w:lineRule="auto"/>
        <w:ind w:firstLine="720"/>
      </w:pPr>
      <w:r>
        <w:t xml:space="preserve">Another limitation was the lack of information within the available data. We were only able to categorize the EI activities based on embeddedness for the statements in which </w:t>
      </w:r>
      <w:r>
        <w:lastRenderedPageBreak/>
        <w:t xml:space="preserve">specific EI activities were identifiable.  Further, while the monetary amounts corresponding to each EI section were known, the amounts for specific activities were not always specified, preventing the creation of three separate and discrete variables (embedded, integrated, and external activities) as proposed by the original framework. Therefore, we developed an alternative but equally robust approach to measure earned revenue embeddedness, detailed in the methodology section. </w:t>
      </w:r>
    </w:p>
    <w:p w14:paraId="22941C9E" w14:textId="77777777" w:rsidR="007E003F" w:rsidRDefault="00E877AB">
      <w:pPr>
        <w:spacing w:line="480" w:lineRule="auto"/>
        <w:ind w:firstLine="720"/>
      </w:pPr>
      <w:r>
        <w:t xml:space="preserve">Furthermore, </w:t>
      </w:r>
      <w:r>
        <w:rPr>
          <w:highlight w:val="white"/>
        </w:rPr>
        <w:t>all financial statements of organisations funded by OCW and FPA are audited according to national government regulation (FPA, 2014, 2015; OCW, n.d., 2017). However, we cannot be certain that the statements from organisations other than those structurally subsidized by either OCW or FPA (18% of our observations) are audited. Our findings should therefore be interpreted with this caveat in mind.</w:t>
      </w:r>
    </w:p>
    <w:p w14:paraId="271A9066" w14:textId="77777777" w:rsidR="007E003F" w:rsidRDefault="00E877AB">
      <w:pPr>
        <w:spacing w:line="480" w:lineRule="auto"/>
        <w:ind w:firstLine="720"/>
      </w:pPr>
      <w:r>
        <w:t>In addition to sample size and composition, the direction of causality may be wrongly assumed. Here we set up EI as the independent variable affecting greater financial independence from government funding. It could be that more EI leads to the government funding drop. However, though our study is cross-sectional, previous panel data supports the directionality of our hypothesis (Young et al., 2010).</w:t>
      </w:r>
    </w:p>
    <w:p w14:paraId="412258F8" w14:textId="23A0FB19" w:rsidR="007E003F" w:rsidRDefault="00E877AB">
      <w:pPr>
        <w:spacing w:line="480" w:lineRule="auto"/>
        <w:ind w:firstLine="720"/>
      </w:pPr>
      <w:r>
        <w:t xml:space="preserve">A further challenge was that while the theory behind embeddedness is relatively precise, implementing the organisational technology (OT) and target market (TM) dimensions necessitated a categorization that could suffer from some subjectivity. One organisation’s external activity, like a cafe, may be integrated at another organisation if it is only available to the target market (e.g. located in a museum and only accessible by museum visitors). See Levine Daniel (2021) and Levine Daniel &amp; Galasso (2019) for more detailed discussion on how to add organisation-specific precision when possible. More generally, the classification of EI activities may not be entirely consistent across organisations, as entities may interpret and allocate the same kinds of EI activities (e.g. rental of space) differently </w:t>
      </w:r>
      <w:r>
        <w:lastRenderedPageBreak/>
        <w:t>within the standardized EI sections; our coding accounted for this variation by assigning each EI activity kind across all sections where it appeared.</w:t>
      </w:r>
    </w:p>
    <w:p w14:paraId="5DBBF99C" w14:textId="5EAA6BF3" w:rsidR="007E003F" w:rsidRDefault="00E877AB">
      <w:pPr>
        <w:spacing w:line="480" w:lineRule="auto"/>
        <w:ind w:firstLine="720"/>
      </w:pPr>
      <w:r>
        <w:t>Lastly, we note that applying these findings may be easier for some organisations than others. For instance, organisations whose main programs or products are not ‘fan-favo</w:t>
      </w:r>
      <w:r w:rsidR="001C0456">
        <w:t>u</w:t>
      </w:r>
      <w:r>
        <w:t>rites’ and difficult to monetize may be unable to adopt an embedded revenue logic in pursuit of financial sustainability.</w:t>
      </w:r>
    </w:p>
    <w:p w14:paraId="0F63B582" w14:textId="77777777" w:rsidR="007E003F" w:rsidRDefault="007E003F">
      <w:pPr>
        <w:spacing w:line="480" w:lineRule="auto"/>
      </w:pPr>
    </w:p>
    <w:p w14:paraId="7F36FBE9" w14:textId="77777777" w:rsidR="007E003F" w:rsidRDefault="00E877AB">
      <w:pPr>
        <w:pBdr>
          <w:top w:val="nil"/>
          <w:left w:val="nil"/>
          <w:bottom w:val="nil"/>
          <w:right w:val="nil"/>
          <w:between w:val="nil"/>
        </w:pBdr>
        <w:spacing w:line="480" w:lineRule="auto"/>
      </w:pPr>
      <w:r>
        <w:rPr>
          <w:b/>
          <w:bCs/>
          <w:sz w:val="30"/>
          <w:szCs w:val="30"/>
        </w:rPr>
        <w:t>Conclusion</w:t>
      </w:r>
    </w:p>
    <w:p w14:paraId="7B6B28FB" w14:textId="77777777" w:rsidR="007E003F" w:rsidRDefault="00E877AB">
      <w:pPr>
        <w:pBdr>
          <w:top w:val="nil"/>
          <w:left w:val="nil"/>
          <w:bottom w:val="nil"/>
          <w:right w:val="nil"/>
          <w:between w:val="nil"/>
        </w:pBdr>
        <w:spacing w:line="480" w:lineRule="auto"/>
      </w:pPr>
      <w:r>
        <w:t xml:space="preserve">We empirically demonstrate that the level of earned revenue embeddedness positively predicts the level of financial independence in dance nonprofits, hence contending that their social mission and financial objective can be compatible. Our study emphasizes the importance of distinguishing between different earned revenues in terms of their embeddedness. As a result, to achieve greater financial self-sufficiency, dance nonprofits should diversify their earned income (EI) activities by prioritizing higher embeddedness. Moreover, they must balance between fund-raising, administration tasks, building reserves, and cost limitations on one side and investing in EI activities on the other side, focusing sufficiently on the latter. Adopting the earned revenue embeddedness framework can aid dance organisations and public authorities to increase nonprofits’ financial independence while achieving their core mission. </w:t>
      </w:r>
    </w:p>
    <w:p w14:paraId="59101174" w14:textId="77777777" w:rsidR="007E003F" w:rsidRDefault="00E877AB">
      <w:pPr>
        <w:pBdr>
          <w:top w:val="nil"/>
          <w:left w:val="nil"/>
          <w:bottom w:val="nil"/>
          <w:right w:val="nil"/>
          <w:between w:val="nil"/>
        </w:pBdr>
        <w:spacing w:line="480" w:lineRule="auto"/>
        <w:ind w:firstLine="720"/>
      </w:pPr>
      <w:r>
        <w:t xml:space="preserve">Our study underscores the predictive capacity of the earned revenue embeddedness framework. Particularly, we demonstrate that, next to </w:t>
      </w:r>
      <w:r>
        <w:rPr>
          <w:i/>
          <w:iCs/>
        </w:rPr>
        <w:t xml:space="preserve">proportions </w:t>
      </w:r>
      <w:r>
        <w:t xml:space="preserve">of EI with higher and lower embeddedness in monetary amounts, also </w:t>
      </w:r>
      <w:r>
        <w:rPr>
          <w:i/>
          <w:iCs/>
        </w:rPr>
        <w:t xml:space="preserve">proportions </w:t>
      </w:r>
      <w:r>
        <w:t xml:space="preserve">of EI with higher and lower embeddedness have predictive capacity. By adding a proportion variable we were able to find a significant impact on the </w:t>
      </w:r>
      <w:r>
        <w:rPr>
          <w:i/>
          <w:iCs/>
        </w:rPr>
        <w:t>OIR₂</w:t>
      </w:r>
      <w:r>
        <w:t xml:space="preserve"> measure of financial independence, explaining the relation between embeddedness and financial independence from structural subsidies.</w:t>
      </w:r>
    </w:p>
    <w:p w14:paraId="587A7B1C" w14:textId="1A09E0A8" w:rsidR="007E003F" w:rsidRDefault="00E877AB">
      <w:pPr>
        <w:pBdr>
          <w:top w:val="nil"/>
          <w:left w:val="nil"/>
          <w:bottom w:val="nil"/>
          <w:right w:val="nil"/>
          <w:between w:val="nil"/>
        </w:pBdr>
        <w:spacing w:line="480" w:lineRule="auto"/>
        <w:ind w:firstLine="720"/>
      </w:pPr>
      <w:r>
        <w:lastRenderedPageBreak/>
        <w:t>This research contributes</w:t>
      </w:r>
      <w:r>
        <w:rPr>
          <w:b/>
          <w:bCs/>
        </w:rPr>
        <w:t xml:space="preserve"> </w:t>
      </w:r>
      <w:r>
        <w:t xml:space="preserve">to the earned revenue embeddedness framework in other ways. Looking at the influence of the </w:t>
      </w:r>
      <w:r>
        <w:rPr>
          <w:i/>
          <w:iCs/>
        </w:rPr>
        <w:t xml:space="preserve">level </w:t>
      </w:r>
      <w:r>
        <w:t xml:space="preserve">of embeddedness on financial independence enriches prior studies that examine the separate effects of </w:t>
      </w:r>
      <w:r>
        <w:rPr>
          <w:i/>
          <w:iCs/>
        </w:rPr>
        <w:t xml:space="preserve">types </w:t>
      </w:r>
      <w:r>
        <w:t xml:space="preserve">of revenue embeddedness. Our method conceptualizes embeddedness as a continuum, as opposed to earlier research that used the embeddedness framework by operationalizing it through three separate and discrete variables (embedded, integrated, and external activities). We evaluate embeddedness on a gradient that goes from the least embedded (external) to the most embedded (embedded) activities. </w:t>
      </w:r>
      <w:r>
        <w:rPr>
          <w:rFonts w:ascii="Roboto" w:eastAsia="Roboto" w:hAnsi="Roboto" w:cs="Roboto"/>
          <w:sz w:val="21"/>
          <w:szCs w:val="21"/>
        </w:rPr>
        <w:t xml:space="preserve"> </w:t>
      </w:r>
      <w:r>
        <w:t>Moreover, our work examines the influence of earned revenue embeddedness on financial independence, in comparison to earlier studies that examine its effect on donations (e.g. Levine Daniel, 2021) and attendance (e.g. Levine Daniel &amp; Kim, 2018). We develop a method to overcome data limitations when applying the revenue embeddedness framework, and we bring it to a European context.</w:t>
      </w:r>
    </w:p>
    <w:p w14:paraId="6DD1D78E" w14:textId="77777777" w:rsidR="007E003F" w:rsidRDefault="00E877AB">
      <w:pPr>
        <w:pBdr>
          <w:top w:val="nil"/>
          <w:left w:val="nil"/>
          <w:bottom w:val="nil"/>
          <w:right w:val="nil"/>
          <w:between w:val="nil"/>
        </w:pBdr>
        <w:spacing w:line="480" w:lineRule="auto"/>
        <w:ind w:firstLine="720"/>
      </w:pPr>
      <w:r>
        <w:t>Second, we contribute to the nonprofit literature by introducing three indicators of financial independence based on Dutch income standards and demonstrating how they differently depend on EI embeddedness (with significant relationships between amount and OIR₁, and proportions and OIR₂). While OIR₁ serves as an alternative to the Dependency Ratio (Governmental Subsidies / Total Income), OIR₂ and OIR₃ can be applied alongside it, as well as in comparison with other common indicators of financial independence, such as the Self-Sufficiency Ratio (EI / Total Income) (Kingma, 1993;</w:t>
      </w:r>
      <w:r>
        <w:rPr>
          <w:b/>
          <w:bCs/>
        </w:rPr>
        <w:t xml:space="preserve"> </w:t>
      </w:r>
      <w:r>
        <w:t>Zietlow et al., 2007).</w:t>
      </w:r>
    </w:p>
    <w:p w14:paraId="2647627E" w14:textId="483A8C48" w:rsidR="007E003F" w:rsidRDefault="00E877AB">
      <w:pPr>
        <w:pBdr>
          <w:top w:val="nil"/>
          <w:left w:val="nil"/>
          <w:bottom w:val="nil"/>
          <w:right w:val="nil"/>
          <w:between w:val="nil"/>
        </w:pBdr>
        <w:spacing w:line="480" w:lineRule="auto"/>
        <w:ind w:firstLine="720"/>
        <w:rPr>
          <w:highlight w:val="white"/>
        </w:rPr>
      </w:pPr>
      <w:r>
        <w:t xml:space="preserve">Third, our study advances insights in dance nonprofits by refuting the assumed dichotomy between a mission-focus and a focus on money or markets. Focusing on artistic and social missions does not stand in the way of making money. Our study suggests how these organisations can become more financially independent from public funding by engaging in EI activities that are close to their core mission of creating and disseminating live performances, strengthening both mission and financial goal. The study advances theories of </w:t>
      </w:r>
      <w:r>
        <w:lastRenderedPageBreak/>
        <w:t>subsidy dependence and the mission–money dichotomy. Although context-specific, the findings suggest a broader empirical logic: if greater financial independence is achieved when earned-income activities are more embedded in the core mission, even in the most cost-disease-prone and least commerciali</w:t>
      </w:r>
      <w:r w:rsidR="001C0456">
        <w:t>s</w:t>
      </w:r>
      <w:r>
        <w:t>able art form, similar dynamics may also operate across other nonprofit arts sectors and national contexts, though with varying intensity. Our approach provides a conceptual, methodological, and analytical framework applicable to these contexts, thereby enabling analytical generalization of the relationship between earned-revenue embeddedness and financial independence.</w:t>
      </w:r>
    </w:p>
    <w:p w14:paraId="408A2231" w14:textId="77777777" w:rsidR="00106DDC" w:rsidRDefault="00106DDC" w:rsidP="00106DDC">
      <w:pPr>
        <w:pBdr>
          <w:top w:val="nil"/>
          <w:left w:val="nil"/>
          <w:bottom w:val="nil"/>
          <w:right w:val="nil"/>
          <w:between w:val="nil"/>
        </w:pBdr>
        <w:rPr>
          <w:b/>
          <w:bCs/>
          <w:sz w:val="30"/>
          <w:szCs w:val="30"/>
        </w:rPr>
      </w:pPr>
    </w:p>
    <w:p w14:paraId="157DAAB0" w14:textId="77777777" w:rsidR="0009245C" w:rsidRDefault="0009245C" w:rsidP="0009245C">
      <w:pPr>
        <w:pBdr>
          <w:top w:val="nil"/>
          <w:left w:val="nil"/>
          <w:bottom w:val="nil"/>
          <w:right w:val="nil"/>
          <w:between w:val="nil"/>
        </w:pBdr>
        <w:rPr>
          <w:b/>
          <w:bCs/>
          <w:sz w:val="30"/>
          <w:szCs w:val="30"/>
        </w:rPr>
      </w:pPr>
      <w:r>
        <w:rPr>
          <w:b/>
          <w:bCs/>
          <w:sz w:val="30"/>
          <w:szCs w:val="30"/>
        </w:rPr>
        <w:t>Contributor Statement</w:t>
      </w:r>
    </w:p>
    <w:p w14:paraId="1109D44B" w14:textId="77777777" w:rsidR="0009245C" w:rsidRDefault="0009245C" w:rsidP="0009245C">
      <w:pPr>
        <w:pBdr>
          <w:top w:val="nil"/>
          <w:left w:val="nil"/>
          <w:bottom w:val="nil"/>
          <w:right w:val="nil"/>
          <w:between w:val="nil"/>
        </w:pBdr>
      </w:pPr>
    </w:p>
    <w:p w14:paraId="4121F71F" w14:textId="77777777" w:rsidR="0009245C" w:rsidRPr="0009245C" w:rsidRDefault="0009245C" w:rsidP="0009245C">
      <w:pPr>
        <w:pBdr>
          <w:top w:val="nil"/>
          <w:left w:val="nil"/>
          <w:bottom w:val="nil"/>
          <w:right w:val="nil"/>
          <w:between w:val="nil"/>
        </w:pBdr>
      </w:pPr>
      <w:r w:rsidRPr="0009245C">
        <w:t>LG wrote the first and subsequent drafts of the manuscript, with comments from JLD and EL. JLD conceptualised the initial framework; LG applied it in the Dutch dance context. LG collected the data and conducted data analysis with support from EL.</w:t>
      </w:r>
    </w:p>
    <w:p w14:paraId="06FE83A2" w14:textId="77777777" w:rsidR="0009245C" w:rsidRDefault="0009245C" w:rsidP="00106DDC">
      <w:pPr>
        <w:pBdr>
          <w:top w:val="nil"/>
          <w:left w:val="nil"/>
          <w:bottom w:val="nil"/>
          <w:right w:val="nil"/>
          <w:between w:val="nil"/>
        </w:pBdr>
        <w:rPr>
          <w:b/>
          <w:bCs/>
          <w:sz w:val="30"/>
          <w:szCs w:val="30"/>
        </w:rPr>
      </w:pPr>
    </w:p>
    <w:p w14:paraId="783F80D4" w14:textId="4F122ABD" w:rsidR="0009245C" w:rsidRDefault="0009245C" w:rsidP="00106DDC">
      <w:pPr>
        <w:pBdr>
          <w:top w:val="nil"/>
          <w:left w:val="nil"/>
          <w:bottom w:val="nil"/>
          <w:right w:val="nil"/>
          <w:between w:val="nil"/>
        </w:pBdr>
        <w:rPr>
          <w:b/>
          <w:bCs/>
          <w:sz w:val="30"/>
          <w:szCs w:val="30"/>
        </w:rPr>
      </w:pPr>
      <w:r>
        <w:rPr>
          <w:b/>
          <w:bCs/>
          <w:sz w:val="30"/>
          <w:szCs w:val="30"/>
        </w:rPr>
        <w:t>Acknowledgements</w:t>
      </w:r>
    </w:p>
    <w:p w14:paraId="2F35B89A" w14:textId="305D0D3A" w:rsidR="0009245C" w:rsidRDefault="0009245C" w:rsidP="00106DDC">
      <w:pPr>
        <w:pBdr>
          <w:top w:val="nil"/>
          <w:left w:val="nil"/>
          <w:bottom w:val="nil"/>
          <w:right w:val="nil"/>
          <w:between w:val="nil"/>
        </w:pBdr>
        <w:rPr>
          <w:b/>
          <w:bCs/>
          <w:sz w:val="30"/>
          <w:szCs w:val="30"/>
        </w:rPr>
      </w:pPr>
    </w:p>
    <w:p w14:paraId="1EFAE666" w14:textId="42515315" w:rsidR="0009245C" w:rsidRDefault="0009245C" w:rsidP="0009245C">
      <w:pPr>
        <w:pBdr>
          <w:top w:val="nil"/>
          <w:left w:val="nil"/>
          <w:bottom w:val="nil"/>
          <w:right w:val="nil"/>
          <w:between w:val="nil"/>
        </w:pBdr>
        <w:rPr>
          <w:b/>
          <w:bCs/>
          <w:sz w:val="30"/>
          <w:szCs w:val="30"/>
        </w:rPr>
      </w:pPr>
      <w:r>
        <w:t xml:space="preserve">The authors wish to thank </w:t>
      </w:r>
      <w:r w:rsidRPr="0009245C">
        <w:t>Kaz Nasserinejad, biostatistician at Erasmus University Medical Center in Rotterdam, the Netherlands, for guidance on the statistical analyses and interpretation of the results</w:t>
      </w:r>
      <w:r>
        <w:t>.</w:t>
      </w:r>
    </w:p>
    <w:p w14:paraId="4A6F0F9A" w14:textId="250FA258" w:rsidR="0009245C" w:rsidRDefault="0009245C" w:rsidP="00106DDC">
      <w:pPr>
        <w:pBdr>
          <w:top w:val="nil"/>
          <w:left w:val="nil"/>
          <w:bottom w:val="nil"/>
          <w:right w:val="nil"/>
          <w:between w:val="nil"/>
        </w:pBdr>
        <w:rPr>
          <w:b/>
          <w:bCs/>
          <w:sz w:val="30"/>
          <w:szCs w:val="30"/>
        </w:rPr>
      </w:pPr>
    </w:p>
    <w:p w14:paraId="163E748B" w14:textId="6042AEF6" w:rsidR="0009245C" w:rsidRDefault="0009245C" w:rsidP="00106DDC">
      <w:pPr>
        <w:pBdr>
          <w:top w:val="nil"/>
          <w:left w:val="nil"/>
          <w:bottom w:val="nil"/>
          <w:right w:val="nil"/>
          <w:between w:val="nil"/>
        </w:pBdr>
        <w:rPr>
          <w:sz w:val="30"/>
          <w:szCs w:val="30"/>
        </w:rPr>
      </w:pPr>
      <w:r>
        <w:rPr>
          <w:b/>
          <w:bCs/>
          <w:sz w:val="30"/>
          <w:szCs w:val="30"/>
        </w:rPr>
        <w:t>Data Availability Statement</w:t>
      </w:r>
    </w:p>
    <w:p w14:paraId="7DC2E010" w14:textId="77777777" w:rsidR="0009245C" w:rsidRDefault="0009245C" w:rsidP="00106DDC">
      <w:pPr>
        <w:pBdr>
          <w:top w:val="nil"/>
          <w:left w:val="nil"/>
          <w:bottom w:val="nil"/>
          <w:right w:val="nil"/>
          <w:between w:val="nil"/>
        </w:pBdr>
        <w:rPr>
          <w:sz w:val="30"/>
          <w:szCs w:val="30"/>
        </w:rPr>
      </w:pPr>
    </w:p>
    <w:p w14:paraId="72E3FEF6" w14:textId="330775CD" w:rsidR="0009245C" w:rsidRDefault="0009245C" w:rsidP="00106DDC">
      <w:pPr>
        <w:pBdr>
          <w:top w:val="nil"/>
          <w:left w:val="nil"/>
          <w:bottom w:val="nil"/>
          <w:right w:val="nil"/>
          <w:between w:val="nil"/>
        </w:pBdr>
      </w:pPr>
      <w:r>
        <w:t>Data available upon request.</w:t>
      </w:r>
    </w:p>
    <w:p w14:paraId="4B2DB1B6" w14:textId="77777777" w:rsidR="0009245C" w:rsidRPr="0009245C" w:rsidRDefault="0009245C" w:rsidP="00106DDC">
      <w:pPr>
        <w:pBdr>
          <w:top w:val="nil"/>
          <w:left w:val="nil"/>
          <w:bottom w:val="nil"/>
          <w:right w:val="nil"/>
          <w:between w:val="nil"/>
        </w:pBdr>
      </w:pPr>
    </w:p>
    <w:p w14:paraId="0767E26F" w14:textId="6D0C91B3" w:rsidR="0009245C" w:rsidRDefault="0009245C" w:rsidP="00106DDC">
      <w:pPr>
        <w:pBdr>
          <w:top w:val="nil"/>
          <w:left w:val="nil"/>
          <w:bottom w:val="nil"/>
          <w:right w:val="nil"/>
          <w:between w:val="nil"/>
        </w:pBdr>
        <w:rPr>
          <w:b/>
          <w:bCs/>
          <w:sz w:val="30"/>
          <w:szCs w:val="30"/>
        </w:rPr>
      </w:pPr>
      <w:r>
        <w:rPr>
          <w:b/>
          <w:bCs/>
          <w:sz w:val="30"/>
          <w:szCs w:val="30"/>
        </w:rPr>
        <w:t>Research Ethics Statement</w:t>
      </w:r>
    </w:p>
    <w:p w14:paraId="0E0CE5EE" w14:textId="77777777" w:rsidR="0009245C" w:rsidRDefault="0009245C" w:rsidP="00106DDC">
      <w:pPr>
        <w:pBdr>
          <w:top w:val="nil"/>
          <w:left w:val="nil"/>
          <w:bottom w:val="nil"/>
          <w:right w:val="nil"/>
          <w:between w:val="nil"/>
        </w:pBdr>
      </w:pPr>
    </w:p>
    <w:p w14:paraId="1214BB1D" w14:textId="235EB64A" w:rsidR="0009245C" w:rsidRPr="0009245C" w:rsidRDefault="0009245C" w:rsidP="00106DDC">
      <w:pPr>
        <w:pBdr>
          <w:top w:val="nil"/>
          <w:left w:val="nil"/>
          <w:bottom w:val="nil"/>
          <w:right w:val="nil"/>
          <w:between w:val="nil"/>
        </w:pBdr>
      </w:pPr>
      <w:r w:rsidRPr="0009245C">
        <w:t>The author(s) of this paper has/have declared that research ethics approval was not required since the paper does not present or draw directly on data/findings from empirical research.</w:t>
      </w:r>
    </w:p>
    <w:p w14:paraId="4E6FD060" w14:textId="77777777" w:rsidR="0009245C" w:rsidRDefault="0009245C" w:rsidP="00106DDC">
      <w:pPr>
        <w:pBdr>
          <w:top w:val="nil"/>
          <w:left w:val="nil"/>
          <w:bottom w:val="nil"/>
          <w:right w:val="nil"/>
          <w:between w:val="nil"/>
        </w:pBdr>
        <w:rPr>
          <w:b/>
          <w:bCs/>
          <w:sz w:val="30"/>
          <w:szCs w:val="30"/>
        </w:rPr>
      </w:pPr>
    </w:p>
    <w:p w14:paraId="6BBAA655" w14:textId="77777777" w:rsidR="0009245C" w:rsidRDefault="0009245C" w:rsidP="0009245C">
      <w:pPr>
        <w:pBdr>
          <w:top w:val="nil"/>
          <w:left w:val="nil"/>
          <w:bottom w:val="nil"/>
          <w:right w:val="nil"/>
          <w:between w:val="nil"/>
        </w:pBdr>
        <w:rPr>
          <w:sz w:val="30"/>
          <w:szCs w:val="30"/>
        </w:rPr>
      </w:pPr>
      <w:r>
        <w:rPr>
          <w:b/>
          <w:bCs/>
          <w:sz w:val="30"/>
          <w:szCs w:val="30"/>
        </w:rPr>
        <w:t>Conflict of Interest Statement</w:t>
      </w:r>
    </w:p>
    <w:p w14:paraId="728BED8F" w14:textId="77777777" w:rsidR="0009245C" w:rsidRDefault="0009245C" w:rsidP="0009245C">
      <w:pPr>
        <w:pBdr>
          <w:top w:val="nil"/>
          <w:left w:val="nil"/>
          <w:bottom w:val="nil"/>
          <w:right w:val="nil"/>
          <w:between w:val="nil"/>
        </w:pBdr>
      </w:pPr>
    </w:p>
    <w:p w14:paraId="7D258041" w14:textId="77777777" w:rsidR="0009245C" w:rsidRPr="00106DDC" w:rsidRDefault="0009245C" w:rsidP="0009245C">
      <w:pPr>
        <w:pBdr>
          <w:top w:val="nil"/>
          <w:left w:val="nil"/>
          <w:bottom w:val="nil"/>
          <w:right w:val="nil"/>
          <w:between w:val="nil"/>
        </w:pBdr>
      </w:pPr>
      <w:r w:rsidRPr="00106DDC">
        <w:t>The authors declare there is no conflict of interest.</w:t>
      </w:r>
    </w:p>
    <w:p w14:paraId="1B9A31A6" w14:textId="1E6A8FEE" w:rsidR="007E003F" w:rsidRDefault="007E003F">
      <w:pPr>
        <w:pBdr>
          <w:top w:val="nil"/>
          <w:left w:val="nil"/>
          <w:bottom w:val="nil"/>
          <w:right w:val="nil"/>
          <w:between w:val="nil"/>
        </w:pBdr>
      </w:pPr>
    </w:p>
    <w:p w14:paraId="056F77CA" w14:textId="77777777" w:rsidR="007E003F" w:rsidRDefault="00E877AB">
      <w:pPr>
        <w:pBdr>
          <w:top w:val="nil"/>
          <w:left w:val="nil"/>
          <w:bottom w:val="nil"/>
          <w:right w:val="nil"/>
          <w:between w:val="nil"/>
        </w:pBdr>
        <w:rPr>
          <w:b/>
          <w:bCs/>
          <w:sz w:val="30"/>
          <w:szCs w:val="30"/>
        </w:rPr>
      </w:pPr>
      <w:r>
        <w:rPr>
          <w:b/>
          <w:bCs/>
          <w:sz w:val="30"/>
          <w:szCs w:val="30"/>
        </w:rPr>
        <w:t>References</w:t>
      </w:r>
    </w:p>
    <w:p w14:paraId="205322A1" w14:textId="77777777" w:rsidR="007E003F" w:rsidRDefault="007E003F">
      <w:pPr>
        <w:pBdr>
          <w:top w:val="nil"/>
          <w:left w:val="nil"/>
          <w:bottom w:val="nil"/>
          <w:right w:val="nil"/>
          <w:between w:val="nil"/>
        </w:pBdr>
        <w:rPr>
          <w:b/>
          <w:bCs/>
          <w:sz w:val="30"/>
          <w:szCs w:val="30"/>
        </w:rPr>
      </w:pPr>
    </w:p>
    <w:p w14:paraId="30642E57" w14:textId="77777777" w:rsidR="007E003F" w:rsidRDefault="00E877AB">
      <w:pPr>
        <w:ind w:left="708" w:hanging="720"/>
      </w:pPr>
      <w:r>
        <w:t xml:space="preserve">Alter, K. (2007). Social enterprise typology. </w:t>
      </w:r>
      <w:r>
        <w:rPr>
          <w:i/>
          <w:iCs/>
        </w:rPr>
        <w:t xml:space="preserve">Virtue Ventures LLC. </w:t>
      </w:r>
      <w:r>
        <w:t>https://isfcolombia.uniandes.edu.co/images/201519/LRD31.pdf</w:t>
      </w:r>
    </w:p>
    <w:p w14:paraId="0E528DC2" w14:textId="77777777" w:rsidR="007E003F" w:rsidRDefault="00E877AB">
      <w:pPr>
        <w:ind w:left="708" w:hanging="720"/>
        <w:rPr>
          <w:u w:val="single"/>
        </w:rPr>
      </w:pPr>
      <w:r>
        <w:lastRenderedPageBreak/>
        <w:t xml:space="preserve">AFK. (2016). </w:t>
      </w:r>
      <w:r>
        <w:rPr>
          <w:i/>
          <w:iCs/>
        </w:rPr>
        <w:t xml:space="preserve">General introduction: Regulation for four-year subsidies, Arts Plan 2017–2020. </w:t>
      </w:r>
      <w:hyperlink r:id="rId12">
        <w:r w:rsidR="007E003F">
          <w:rPr>
            <w:u w:val="single"/>
          </w:rPr>
          <w:t>https://www.amsterdamsfondsvoordekunst.nl/site/assets/files/1430/afk_4jarige_regeling_algemeen.pdf</w:t>
        </w:r>
      </w:hyperlink>
    </w:p>
    <w:p w14:paraId="10151044" w14:textId="77777777" w:rsidR="007E003F" w:rsidRDefault="00E877AB">
      <w:pPr>
        <w:ind w:left="708" w:hanging="720"/>
        <w:rPr>
          <w:u w:val="single"/>
        </w:rPr>
      </w:pPr>
      <w:r>
        <w:t xml:space="preserve">AFK. (n.d.). </w:t>
      </w:r>
      <w:r>
        <w:rPr>
          <w:i/>
          <w:iCs/>
        </w:rPr>
        <w:t>Four-Year Subsidies 2017–2020.</w:t>
      </w:r>
      <w:hyperlink r:id="rId13">
        <w:r w:rsidR="007E003F">
          <w:t xml:space="preserve"> </w:t>
        </w:r>
      </w:hyperlink>
      <w:hyperlink r:id="rId14">
        <w:r w:rsidR="007E003F">
          <w:rPr>
            <w:u w:val="single"/>
          </w:rPr>
          <w:t>https://www.amsterdamsfondsvoordekunst.nl/aanvragen/overzicht-subsidies/</w:t>
        </w:r>
      </w:hyperlink>
    </w:p>
    <w:p w14:paraId="131DAA71" w14:textId="77777777" w:rsidR="007E003F" w:rsidRDefault="00E877AB">
      <w:pPr>
        <w:ind w:left="708" w:hanging="720"/>
      </w:pPr>
      <w:r>
        <w:t xml:space="preserve">AFK. (n.d.-a). </w:t>
      </w:r>
      <w:r>
        <w:rPr>
          <w:i/>
          <w:iCs/>
        </w:rPr>
        <w:t>Arts Plan 2021–2024: Introduction to Dance. Regulation for Four-Year Subsidies 2021–2024.</w:t>
      </w:r>
      <w:r>
        <w:t xml:space="preserve"> </w:t>
      </w:r>
      <w:hyperlink r:id="rId15">
        <w:r w:rsidR="007E003F">
          <w:rPr>
            <w:u w:val="single"/>
          </w:rPr>
          <w:t>https://www.amsterdamsfondsvoordekunst.nl/site/assets/files/13749/afk_inleiding_dans_2021-2024.pdf</w:t>
        </w:r>
      </w:hyperlink>
    </w:p>
    <w:p w14:paraId="74206B31" w14:textId="77777777" w:rsidR="007E003F" w:rsidRDefault="00E877AB">
      <w:pPr>
        <w:ind w:left="708" w:hanging="720"/>
      </w:pPr>
      <w:r>
        <w:t xml:space="preserve">Arts Council England. (2022). </w:t>
      </w:r>
      <w:r>
        <w:rPr>
          <w:i/>
          <w:iCs/>
        </w:rPr>
        <w:t>Investment Programme 2023–26: National Portfolio organisations and Investment Principles Support Organisations.</w:t>
      </w:r>
      <w:r>
        <w:t xml:space="preserve"> https://www.artscouncil.org.uk/investment23-26</w:t>
      </w:r>
    </w:p>
    <w:p w14:paraId="1ABD3535" w14:textId="77777777" w:rsidR="007E003F" w:rsidRDefault="00E877AB">
      <w:pPr>
        <w:ind w:left="708" w:hanging="720"/>
        <w:rPr>
          <w:u w:val="single"/>
        </w:rPr>
      </w:pPr>
      <w:r>
        <w:t xml:space="preserve">Baum, J. a. C., &amp; Shipilov, A. V. (2006). Ecological Approaches to organisations. In </w:t>
      </w:r>
      <w:r>
        <w:rPr>
          <w:i/>
          <w:iCs/>
        </w:rPr>
        <w:t>SAGE Publications Ltd eBooks</w:t>
      </w:r>
      <w:r>
        <w:t xml:space="preserve"> (pp. 55–110).</w:t>
      </w:r>
      <w:hyperlink r:id="rId16">
        <w:r w:rsidR="007E003F">
          <w:t xml:space="preserve"> </w:t>
        </w:r>
      </w:hyperlink>
      <w:hyperlink r:id="rId17">
        <w:r w:rsidR="007E003F">
          <w:rPr>
            <w:u w:val="single"/>
          </w:rPr>
          <w:t>https://doi.org/10.4135/9781848608030.n3</w:t>
        </w:r>
      </w:hyperlink>
    </w:p>
    <w:p w14:paraId="67AEF636" w14:textId="77777777" w:rsidR="007E003F" w:rsidRDefault="00E877AB">
      <w:pPr>
        <w:ind w:left="708" w:hanging="720"/>
      </w:pPr>
      <w:r>
        <w:t xml:space="preserve">Baumol, W. J., &amp; Bowen, W. G. (1966). </w:t>
      </w:r>
      <w:r>
        <w:rPr>
          <w:i/>
          <w:iCs/>
        </w:rPr>
        <w:t>performing arts: The Economic Dilemma</w:t>
      </w:r>
      <w:r>
        <w:t xml:space="preserve">. New York: The Twentieth Century Fund.Boyle, S. (2007). Impact of changes in organisational structure on selected key performance indicators for cultural organisations. </w:t>
      </w:r>
      <w:r>
        <w:rPr>
          <w:i/>
          <w:iCs/>
        </w:rPr>
        <w:t>International Journal of Cultural Policy</w:t>
      </w:r>
      <w:r>
        <w:t xml:space="preserve">, </w:t>
      </w:r>
      <w:r>
        <w:rPr>
          <w:i/>
          <w:iCs/>
        </w:rPr>
        <w:t>13</w:t>
      </w:r>
      <w:r>
        <w:t>(3), 319–334. //doi.org/10.1080/10286630701556506</w:t>
      </w:r>
    </w:p>
    <w:p w14:paraId="3E286C27" w14:textId="77777777" w:rsidR="007E003F" w:rsidRDefault="00E877AB">
      <w:pPr>
        <w:ind w:left="708" w:hanging="720"/>
      </w:pPr>
      <w:r>
        <w:t xml:space="preserve">Canada Council for the Arts. (2024). </w:t>
      </w:r>
      <w:r>
        <w:rPr>
          <w:i/>
          <w:iCs/>
        </w:rPr>
        <w:t>Stats and Stories 2023-24: Canada Council funding overview</w:t>
      </w:r>
      <w:r>
        <w:t>.</w:t>
      </w:r>
      <w:hyperlink r:id="rId18">
        <w:r w:rsidR="007E003F">
          <w:t xml:space="preserve"> </w:t>
        </w:r>
      </w:hyperlink>
      <w:hyperlink r:id="rId19">
        <w:r w:rsidR="007E003F">
          <w:rPr>
            <w:u w:val="single"/>
          </w:rPr>
          <w:t>https://canadacouncil.ca/research/stats-and-stories</w:t>
        </w:r>
      </w:hyperlink>
    </w:p>
    <w:p w14:paraId="2FC9FBA5" w14:textId="77777777" w:rsidR="007E003F" w:rsidRDefault="00E877AB">
      <w:pPr>
        <w:ind w:left="708" w:hanging="720"/>
      </w:pPr>
      <w:r>
        <w:t xml:space="preserve">CfC. (2012, May). </w:t>
      </w:r>
      <w:r>
        <w:rPr>
          <w:i/>
          <w:iCs/>
        </w:rPr>
        <w:t xml:space="preserve">Success in culture, advice on basic cultural infrastructure 2013 – 2016. </w:t>
      </w:r>
      <w:hyperlink r:id="rId20">
        <w:r w:rsidR="007E003F">
          <w:rPr>
            <w:u w:val="single"/>
          </w:rPr>
          <w:t>https://www.raadvoorcultuur.nl/documenten/adviezen/2012/05/01/slagen-in-cultuur-culturele-basisinfrastructuur-2013-2016</w:t>
        </w:r>
      </w:hyperlink>
    </w:p>
    <w:p w14:paraId="72C7BCDC" w14:textId="77777777" w:rsidR="007E003F" w:rsidRDefault="00E877AB">
      <w:pPr>
        <w:ind w:left="708" w:hanging="720"/>
      </w:pPr>
      <w:r>
        <w:t xml:space="preserve">CfC. (2015, November 3). </w:t>
      </w:r>
      <w:r>
        <w:rPr>
          <w:i/>
          <w:iCs/>
        </w:rPr>
        <w:t>Evaluation squad for basic infrastructure 2017 – 2020</w:t>
      </w:r>
      <w:r>
        <w:t xml:space="preserve">. </w:t>
      </w:r>
      <w:hyperlink r:id="rId21">
        <w:r w:rsidR="007E003F">
          <w:rPr>
            <w:u w:val="single"/>
          </w:rPr>
          <w:t>https://bis2017-2020.cultuur.nl/inleiding</w:t>
        </w:r>
      </w:hyperlink>
    </w:p>
    <w:p w14:paraId="73A52E8B" w14:textId="77777777" w:rsidR="007E003F" w:rsidRDefault="00E877AB">
      <w:pPr>
        <w:ind w:left="708" w:hanging="720"/>
      </w:pPr>
      <w:r>
        <w:t xml:space="preserve">CfC. (2020, June 4). </w:t>
      </w:r>
      <w:r>
        <w:rPr>
          <w:i/>
          <w:iCs/>
        </w:rPr>
        <w:t>Cultural basic infrastructure 2021 - 2024..</w:t>
      </w:r>
      <w:r>
        <w:t xml:space="preserve"> </w:t>
      </w:r>
      <w:hyperlink r:id="rId22">
        <w:r w:rsidR="007E003F">
          <w:rPr>
            <w:u w:val="single"/>
          </w:rPr>
          <w:t>https://www.raadvoorcultuur.nl/bis-2021-2024/bis-advies-2021-2024</w:t>
        </w:r>
      </w:hyperlink>
    </w:p>
    <w:p w14:paraId="22F7769F" w14:textId="77777777" w:rsidR="007E003F" w:rsidRDefault="00E877AB">
      <w:pPr>
        <w:ind w:left="708" w:hanging="720"/>
        <w:rPr>
          <w:u w:val="single"/>
        </w:rPr>
      </w:pPr>
      <w:r>
        <w:t xml:space="preserve">Chikoto, G. L., Ling, Q., &amp; Neely, D. G. (2015). The Adoption and Use of the Hirschman–Herfindahl Index in Nonprofit Research: Does Revenue Diversification Measurement Matter? </w:t>
      </w:r>
      <w:r>
        <w:rPr>
          <w:i/>
          <w:iCs/>
        </w:rPr>
        <w:t>VOLUNTAS: International Journal of Voluntary and Nonprofit organisations</w:t>
      </w:r>
      <w:r>
        <w:t xml:space="preserve">, </w:t>
      </w:r>
      <w:r>
        <w:rPr>
          <w:i/>
          <w:iCs/>
        </w:rPr>
        <w:t>27</w:t>
      </w:r>
      <w:r>
        <w:t>(3), 1425–1447.</w:t>
      </w:r>
      <w:hyperlink r:id="rId23">
        <w:r w:rsidR="007E003F">
          <w:t xml:space="preserve"> </w:t>
        </w:r>
      </w:hyperlink>
      <w:hyperlink r:id="rId24">
        <w:r w:rsidR="007E003F">
          <w:rPr>
            <w:u w:val="single"/>
          </w:rPr>
          <w:t>https://doi.org/10.1007/s11266-015-9562-6</w:t>
        </w:r>
      </w:hyperlink>
    </w:p>
    <w:p w14:paraId="0A8E6970" w14:textId="77777777" w:rsidR="007E003F" w:rsidRDefault="00E877AB">
      <w:pPr>
        <w:ind w:left="708" w:hanging="720"/>
      </w:pPr>
      <w:r>
        <w:t>Chikoto-Schultz G. L., Neely D. G. (2016). Exploring the nexus of nonprofit financial stability and financial growth. Voluntas, 27, 2561-2575.</w:t>
      </w:r>
    </w:p>
    <w:p w14:paraId="146F9F98" w14:textId="77777777" w:rsidR="007E003F" w:rsidRDefault="00E877AB">
      <w:pPr>
        <w:ind w:left="708" w:hanging="720"/>
        <w:rPr>
          <w:highlight w:val="white"/>
        </w:rPr>
      </w:pPr>
      <w:r>
        <w:rPr>
          <w:highlight w:val="white"/>
        </w:rPr>
        <w:t xml:space="preserve">Clubb, P. (1987). An analysis of the economic instability of arts organisations. </w:t>
      </w:r>
      <w:r>
        <w:rPr>
          <w:i/>
          <w:iCs/>
          <w:highlight w:val="white"/>
        </w:rPr>
        <w:t>Journal of Arts Management and Law</w:t>
      </w:r>
      <w:r>
        <w:rPr>
          <w:highlight w:val="white"/>
        </w:rPr>
        <w:t xml:space="preserve">, </w:t>
      </w:r>
      <w:r>
        <w:rPr>
          <w:i/>
          <w:iCs/>
          <w:highlight w:val="white"/>
        </w:rPr>
        <w:t>17</w:t>
      </w:r>
      <w:r>
        <w:rPr>
          <w:highlight w:val="white"/>
        </w:rPr>
        <w:t>(1), 47-74.</w:t>
      </w:r>
    </w:p>
    <w:p w14:paraId="194A3CA6" w14:textId="77777777" w:rsidR="007E003F" w:rsidRDefault="00E877AB">
      <w:pPr>
        <w:ind w:left="708" w:hanging="720"/>
      </w:pPr>
      <w:r>
        <w:rPr>
          <w:highlight w:val="white"/>
        </w:rPr>
        <w:t xml:space="preserve">Cohen, J. (1960). A Coefficient of Agreement for Nominal Scales. </w:t>
      </w:r>
      <w:r>
        <w:rPr>
          <w:i/>
          <w:iCs/>
          <w:highlight w:val="white"/>
        </w:rPr>
        <w:t>Educational and Psychological Measurement</w:t>
      </w:r>
      <w:r>
        <w:rPr>
          <w:highlight w:val="white"/>
        </w:rPr>
        <w:t xml:space="preserve">, </w:t>
      </w:r>
      <w:r>
        <w:rPr>
          <w:i/>
          <w:iCs/>
          <w:highlight w:val="white"/>
        </w:rPr>
        <w:t>20</w:t>
      </w:r>
      <w:r>
        <w:rPr>
          <w:highlight w:val="white"/>
        </w:rPr>
        <w:t>(1), 37-46.</w:t>
      </w:r>
      <w:hyperlink r:id="rId25">
        <w:r w:rsidR="007E003F">
          <w:rPr>
            <w:highlight w:val="white"/>
          </w:rPr>
          <w:t xml:space="preserve"> </w:t>
        </w:r>
      </w:hyperlink>
      <w:hyperlink r:id="rId26">
        <w:r w:rsidR="007E003F">
          <w:rPr>
            <w:highlight w:val="white"/>
            <w:u w:val="single"/>
          </w:rPr>
          <w:t>https://doi.org/10.1177/001316446002000104</w:t>
        </w:r>
      </w:hyperlink>
    </w:p>
    <w:p w14:paraId="50056925" w14:textId="77777777" w:rsidR="007E003F" w:rsidRDefault="00E877AB">
      <w:pPr>
        <w:ind w:left="708" w:hanging="720"/>
        <w:rPr>
          <w:u w:val="single"/>
        </w:rPr>
      </w:pPr>
      <w:r>
        <w:t xml:space="preserve">Dahiru, T. (2011). P-Value, a true test of statistical significance? a cautionary note. </w:t>
      </w:r>
      <w:r>
        <w:rPr>
          <w:i/>
          <w:iCs/>
        </w:rPr>
        <w:t>Annals of Ibadan Postgraduate Medicine</w:t>
      </w:r>
      <w:r>
        <w:t xml:space="preserve">, </w:t>
      </w:r>
      <w:r>
        <w:rPr>
          <w:i/>
          <w:iCs/>
        </w:rPr>
        <w:t>6</w:t>
      </w:r>
      <w:r>
        <w:t>(1).</w:t>
      </w:r>
      <w:hyperlink r:id="rId27">
        <w:r w:rsidR="007E003F">
          <w:t xml:space="preserve"> </w:t>
        </w:r>
      </w:hyperlink>
      <w:hyperlink r:id="rId28">
        <w:r w:rsidR="007E003F">
          <w:rPr>
            <w:u w:val="single"/>
          </w:rPr>
          <w:t>https://doi.org/10.4314/aipm.v6i1.64038</w:t>
        </w:r>
      </w:hyperlink>
    </w:p>
    <w:p w14:paraId="7A9F9D29" w14:textId="77777777" w:rsidR="007E003F" w:rsidRDefault="00E877AB">
      <w:pPr>
        <w:ind w:left="708" w:hanging="720"/>
        <w:rPr>
          <w:u w:val="single"/>
        </w:rPr>
      </w:pPr>
      <w:r>
        <w:t xml:space="preserve">Damanpour, F., &amp; Evan, W. M. (1984). organisational innovation and performance: The problem of "organisational lag." </w:t>
      </w:r>
      <w:r>
        <w:rPr>
          <w:i/>
          <w:iCs/>
        </w:rPr>
        <w:t>Administrative Science Quarterly, 29</w:t>
      </w:r>
      <w:r>
        <w:t xml:space="preserve">(3), 392–402. </w:t>
      </w:r>
      <w:hyperlink r:id="rId29">
        <w:r w:rsidR="007E003F">
          <w:rPr>
            <w:u w:val="single"/>
          </w:rPr>
          <w:t>https://doi.org/10.2307/2393031</w:t>
        </w:r>
      </w:hyperlink>
    </w:p>
    <w:p w14:paraId="585D1D3D" w14:textId="77777777" w:rsidR="007E003F" w:rsidRDefault="00E877AB">
      <w:pPr>
        <w:ind w:left="708" w:hanging="720"/>
        <w:rPr>
          <w:u w:val="single"/>
        </w:rPr>
      </w:pPr>
      <w:r>
        <w:t xml:space="preserve">Dance/USA. (2021, July). </w:t>
      </w:r>
      <w:r>
        <w:rPr>
          <w:i/>
          <w:iCs/>
        </w:rPr>
        <w:t>The impact of COVID-19 on the field of dance: Part II</w:t>
      </w:r>
      <w:r>
        <w:t xml:space="preserve"> [Report]. </w:t>
      </w:r>
      <w:hyperlink r:id="rId30">
        <w:r w:rsidR="007E003F">
          <w:rPr>
            <w:u w:val="single"/>
          </w:rPr>
          <w:t>https://danceusa.s3.us-east-2.amazonaws.com/wp-content/uploads/2021/07/09093823/THE-IMPACT-OF-COVID19-ON-THE-FIELD-OF-DANCE-PART-II-FINAL.pdf</w:t>
        </w:r>
      </w:hyperlink>
    </w:p>
    <w:p w14:paraId="07378401" w14:textId="77777777" w:rsidR="007E003F" w:rsidRDefault="00E877AB">
      <w:pPr>
        <w:ind w:left="708" w:hanging="720"/>
      </w:pPr>
      <w:r>
        <w:lastRenderedPageBreak/>
        <w:t xml:space="preserve">Del Barrio‐Tellado, M. J., Herrero‐Prieto, L. C., &amp; Murray, C. (2020). Audience success or art for art’s sake? Efficiency evaluation of dance companies in the United States. </w:t>
      </w:r>
      <w:r>
        <w:rPr>
          <w:i/>
          <w:iCs/>
        </w:rPr>
        <w:t>Nonprofit Management and Leadership</w:t>
      </w:r>
      <w:r>
        <w:t xml:space="preserve">, </w:t>
      </w:r>
      <w:r>
        <w:rPr>
          <w:i/>
          <w:iCs/>
        </w:rPr>
        <w:t>31</w:t>
      </w:r>
      <w:r>
        <w:t>(1), 129–152.</w:t>
      </w:r>
      <w:hyperlink r:id="rId31">
        <w:r w:rsidR="007E003F">
          <w:t xml:space="preserve"> </w:t>
        </w:r>
      </w:hyperlink>
      <w:hyperlink r:id="rId32">
        <w:r w:rsidR="007E003F">
          <w:rPr>
            <w:u w:val="single"/>
          </w:rPr>
          <w:t>https://doi.org/10.1002/nml.21411</w:t>
        </w:r>
      </w:hyperlink>
    </w:p>
    <w:p w14:paraId="77CFE1D7" w14:textId="77777777" w:rsidR="007E003F" w:rsidRDefault="00E877AB">
      <w:pPr>
        <w:ind w:left="708" w:hanging="720"/>
        <w:rPr>
          <w:u w:val="single"/>
        </w:rPr>
      </w:pPr>
      <w:r>
        <w:t xml:space="preserve">Despard, M. R., Nanre Nafziger-Mayegun, R., Korkor Adjabeng, B., &amp; Ansong, D. (2017). Does revenue diversification predict financial vulnerability among non-governmental organisations in sub-Saharan Africa? </w:t>
      </w:r>
      <w:r>
        <w:rPr>
          <w:i/>
          <w:iCs/>
        </w:rPr>
        <w:t>VOLUNTAS: International Journal of Voluntary and Nonprofit organisations, 28</w:t>
      </w:r>
      <w:r>
        <w:t>, 2124–2144.</w:t>
      </w:r>
      <w:hyperlink r:id="rId33">
        <w:r w:rsidR="007E003F">
          <w:t xml:space="preserve"> </w:t>
        </w:r>
      </w:hyperlink>
      <w:hyperlink r:id="rId34">
        <w:r w:rsidR="007E003F">
          <w:rPr>
            <w:u w:val="single"/>
          </w:rPr>
          <w:t>https://doi.org/10.1007/s11266-017-9835-3</w:t>
        </w:r>
      </w:hyperlink>
    </w:p>
    <w:p w14:paraId="7D18003E" w14:textId="77777777" w:rsidR="007E003F" w:rsidRDefault="00E877AB">
      <w:pPr>
        <w:ind w:left="708" w:hanging="720"/>
        <w:rPr>
          <w:u w:val="single"/>
        </w:rPr>
      </w:pPr>
      <w:r>
        <w:t xml:space="preserve">Doherty, B., Haugh, H., &amp; Lyon, F. (2014). Social Enterprises as Hybrid organisations: A Review and Research Agenda. </w:t>
      </w:r>
      <w:r>
        <w:rPr>
          <w:i/>
          <w:iCs/>
        </w:rPr>
        <w:t>International Journal of Management Reviews</w:t>
      </w:r>
      <w:r>
        <w:t xml:space="preserve">, </w:t>
      </w:r>
      <w:r>
        <w:rPr>
          <w:i/>
          <w:iCs/>
        </w:rPr>
        <w:t>16</w:t>
      </w:r>
      <w:r>
        <w:t>(4), 417–436.</w:t>
      </w:r>
      <w:hyperlink r:id="rId35">
        <w:r w:rsidR="007E003F">
          <w:t xml:space="preserve"> </w:t>
        </w:r>
      </w:hyperlink>
      <w:hyperlink r:id="rId36">
        <w:r w:rsidR="007E003F">
          <w:rPr>
            <w:u w:val="single"/>
          </w:rPr>
          <w:t>https://doi.org/10.1111/ijmr.12028</w:t>
        </w:r>
      </w:hyperlink>
    </w:p>
    <w:p w14:paraId="1CCE5691" w14:textId="77777777" w:rsidR="007E003F" w:rsidRDefault="00E877AB">
      <w:pPr>
        <w:ind w:left="708" w:hanging="720"/>
      </w:pPr>
      <w:r>
        <w:t xml:space="preserve">Eikenberry, A., &amp; Kluver, J. (2004). The Marketization of the Nonprofit Sector: Civil Society at Risk? </w:t>
      </w:r>
      <w:r>
        <w:rPr>
          <w:i/>
          <w:iCs/>
        </w:rPr>
        <w:t>Public Administration Review, 64(</w:t>
      </w:r>
      <w:r>
        <w:t>2), 132-140.</w:t>
      </w:r>
      <w:hyperlink r:id="rId37">
        <w:r w:rsidR="007E003F">
          <w:t xml:space="preserve"> </w:t>
        </w:r>
      </w:hyperlink>
      <w:hyperlink r:id="rId38">
        <w:r w:rsidR="007E003F">
          <w:rPr>
            <w:u w:val="single"/>
          </w:rPr>
          <w:t>http://doi.org/10.1111/j.1540-6210.2004.00353.x</w:t>
        </w:r>
      </w:hyperlink>
    </w:p>
    <w:p w14:paraId="32DBBEE2" w14:textId="77777777" w:rsidR="007E003F" w:rsidRDefault="00E877AB">
      <w:pPr>
        <w:ind w:left="708" w:hanging="720"/>
        <w:rPr>
          <w:u w:val="single"/>
        </w:rPr>
      </w:pPr>
      <w:r>
        <w:t xml:space="preserve">European Dancehouse Network. (2021). </w:t>
      </w:r>
      <w:r>
        <w:rPr>
          <w:i/>
          <w:iCs/>
        </w:rPr>
        <w:t>Virtualised dance?</w:t>
      </w:r>
      <w:hyperlink r:id="rId39">
        <w:r w:rsidR="007E003F">
          <w:t xml:space="preserve"> </w:t>
        </w:r>
      </w:hyperlink>
      <w:hyperlink r:id="rId40">
        <w:r w:rsidR="007E003F">
          <w:rPr>
            <w:u w:val="single"/>
          </w:rPr>
          <w:t>https://www.ednetwork.eu/uploads/documents/63/EDN_Virtualized%20Dance%20Full%20Publication.pdf</w:t>
        </w:r>
      </w:hyperlink>
    </w:p>
    <w:p w14:paraId="3336C582" w14:textId="77777777" w:rsidR="007E003F" w:rsidRDefault="00E877AB">
      <w:pPr>
        <w:ind w:left="708" w:hanging="720"/>
      </w:pPr>
      <w:r>
        <w:t xml:space="preserve">Feder, T., &amp; Katz-Gerro, T. (2015). The cultural hierarchy in funding: Government funding of the performing arts based on ethnic and geographic distinctions. </w:t>
      </w:r>
      <w:r>
        <w:rPr>
          <w:i/>
          <w:iCs/>
        </w:rPr>
        <w:t>Poetics</w:t>
      </w:r>
      <w:r>
        <w:t xml:space="preserve">, </w:t>
      </w:r>
      <w:r>
        <w:rPr>
          <w:i/>
          <w:iCs/>
        </w:rPr>
        <w:t>49</w:t>
      </w:r>
      <w:r>
        <w:t xml:space="preserve">, 76–95. </w:t>
      </w:r>
      <w:hyperlink r:id="rId41">
        <w:r w:rsidR="007E003F">
          <w:rPr>
            <w:u w:val="single"/>
          </w:rPr>
          <w:t>https://doi.org/10.1016/j.poetic.2015.02.004</w:t>
        </w:r>
      </w:hyperlink>
    </w:p>
    <w:p w14:paraId="5743EB29" w14:textId="77777777" w:rsidR="007E003F" w:rsidRDefault="00E877AB">
      <w:pPr>
        <w:ind w:left="708" w:hanging="720"/>
      </w:pPr>
      <w:r>
        <w:t>Federatie Cultuur. (n.d.). Organisatie. https://federatiecultuur.nl/de-federatie/</w:t>
      </w:r>
    </w:p>
    <w:p w14:paraId="63A1630D" w14:textId="77777777" w:rsidR="007E003F" w:rsidRDefault="00E877AB">
      <w:pPr>
        <w:ind w:left="708" w:hanging="720"/>
        <w:rPr>
          <w:u w:val="single"/>
        </w:rPr>
      </w:pPr>
      <w:r>
        <w:t xml:space="preserve">Felton, M. V. (1994). Evidence of the existence of the cost disease in the performing arts. </w:t>
      </w:r>
      <w:r>
        <w:rPr>
          <w:i/>
          <w:iCs/>
        </w:rPr>
        <w:t>Journal of Cultural Economics</w:t>
      </w:r>
      <w:r>
        <w:t xml:space="preserve">, </w:t>
      </w:r>
      <w:r>
        <w:rPr>
          <w:i/>
          <w:iCs/>
        </w:rPr>
        <w:t>18</w:t>
      </w:r>
      <w:r>
        <w:t>(4), 301–312.</w:t>
      </w:r>
      <w:hyperlink r:id="rId42">
        <w:r w:rsidR="007E003F">
          <w:t xml:space="preserve"> </w:t>
        </w:r>
      </w:hyperlink>
      <w:hyperlink r:id="rId43">
        <w:r w:rsidR="007E003F">
          <w:rPr>
            <w:u w:val="single"/>
          </w:rPr>
          <w:t>https://doi.org/10.1007/bf01079761</w:t>
        </w:r>
      </w:hyperlink>
    </w:p>
    <w:p w14:paraId="4161DDC9" w14:textId="77777777" w:rsidR="007E003F" w:rsidRDefault="00E877AB">
      <w:pPr>
        <w:ind w:left="708" w:hanging="720"/>
        <w:rPr>
          <w:u w:val="single"/>
        </w:rPr>
      </w:pPr>
      <w:r>
        <w:t xml:space="preserve">Fernández-Blanco, V., Rodriguez-Alvarez, A., &amp; Wiśniewska, A. (2018). Measuring technical efficiency and marginal costs in the performing arts: the case of the municipal theatres of Warsaw. </w:t>
      </w:r>
      <w:r>
        <w:rPr>
          <w:i/>
          <w:iCs/>
        </w:rPr>
        <w:t>Journal of Cultural Economics</w:t>
      </w:r>
      <w:r>
        <w:t xml:space="preserve">, </w:t>
      </w:r>
      <w:r>
        <w:rPr>
          <w:i/>
          <w:iCs/>
        </w:rPr>
        <w:t>43</w:t>
      </w:r>
      <w:r>
        <w:t>(1), 97-119.</w:t>
      </w:r>
      <w:hyperlink r:id="rId44">
        <w:r w:rsidR="007E003F">
          <w:t xml:space="preserve"> </w:t>
        </w:r>
      </w:hyperlink>
      <w:hyperlink r:id="rId45">
        <w:r w:rsidR="007E003F">
          <w:rPr>
            <w:u w:val="single"/>
          </w:rPr>
          <w:t>https://doi.org/10.1007/s10824-018-9330-8</w:t>
        </w:r>
      </w:hyperlink>
    </w:p>
    <w:p w14:paraId="62864FB8" w14:textId="77777777" w:rsidR="007E003F" w:rsidRDefault="00E877AB">
      <w:pPr>
        <w:ind w:left="708" w:hanging="720"/>
        <w:rPr>
          <w:u w:val="single"/>
        </w:rPr>
      </w:pPr>
      <w:r>
        <w:rPr>
          <w:highlight w:val="white"/>
        </w:rPr>
        <w:t xml:space="preserve">Foster, W., &amp; Bradach, J. (2005). Should nonprofits seek profits?. </w:t>
      </w:r>
      <w:r>
        <w:rPr>
          <w:i/>
          <w:iCs/>
          <w:highlight w:val="white"/>
        </w:rPr>
        <w:t>Harvard business review</w:t>
      </w:r>
      <w:r>
        <w:rPr>
          <w:highlight w:val="white"/>
        </w:rPr>
        <w:t xml:space="preserve">, </w:t>
      </w:r>
      <w:r>
        <w:rPr>
          <w:i/>
          <w:iCs/>
          <w:highlight w:val="white"/>
        </w:rPr>
        <w:t>83</w:t>
      </w:r>
      <w:r>
        <w:rPr>
          <w:highlight w:val="white"/>
        </w:rPr>
        <w:t>(2), 92-148.</w:t>
      </w:r>
      <w:hyperlink r:id="rId46">
        <w:r w:rsidR="007E003F">
          <w:t xml:space="preserve"> </w:t>
        </w:r>
      </w:hyperlink>
      <w:hyperlink r:id="rId47">
        <w:r w:rsidR="007E003F">
          <w:rPr>
            <w:u w:val="single"/>
          </w:rPr>
          <w:t>https://hbr.org/2005/02/should-nonprofits-seek-profits</w:t>
        </w:r>
      </w:hyperlink>
    </w:p>
    <w:p w14:paraId="55AD2EAB" w14:textId="77777777" w:rsidR="007E003F" w:rsidRDefault="00E877AB">
      <w:pPr>
        <w:ind w:left="708" w:hanging="720"/>
      </w:pPr>
      <w:r>
        <w:t xml:space="preserve">FPA. (2012, August 01). </w:t>
      </w:r>
      <w:r>
        <w:rPr>
          <w:i/>
          <w:iCs/>
        </w:rPr>
        <w:t>Decisions on multi-year activity subsidies 2013–2016.</w:t>
      </w:r>
      <w:r>
        <w:t xml:space="preserve"> </w:t>
      </w:r>
      <w:hyperlink r:id="rId48">
        <w:r w:rsidR="007E003F">
          <w:rPr>
            <w:u w:val="single"/>
          </w:rPr>
          <w:t>https://fondspodiumkunsten.nl/nl/actueel/nieuws/beschikkingen_meerjarige_activiteitensubsidie_2013_2016/</w:t>
        </w:r>
      </w:hyperlink>
    </w:p>
    <w:p w14:paraId="6FE43461" w14:textId="77777777" w:rsidR="007E003F" w:rsidRDefault="00E877AB">
      <w:pPr>
        <w:ind w:left="708" w:hanging="720"/>
        <w:rPr>
          <w:u w:val="single"/>
        </w:rPr>
      </w:pPr>
      <w:r>
        <w:t xml:space="preserve">FPA. (2014, January 10). </w:t>
      </w:r>
      <w:r>
        <w:rPr>
          <w:i/>
          <w:iCs/>
        </w:rPr>
        <w:t xml:space="preserve">Accountability Manual for Multi-Year Activity Subsidy 2013–2016. </w:t>
      </w:r>
      <w:hyperlink r:id="rId49">
        <w:r w:rsidR="007E003F">
          <w:rPr>
            <w:u w:val="single"/>
          </w:rPr>
          <w:t>http://www.nfpa.nl/content/subsidieregeling/i_104/FPKhandboek20132016v20140110.pdf</w:t>
        </w:r>
      </w:hyperlink>
    </w:p>
    <w:p w14:paraId="20BA5A69" w14:textId="77777777" w:rsidR="007E003F" w:rsidRDefault="00E877AB">
      <w:pPr>
        <w:ind w:left="708" w:hanging="720"/>
        <w:rPr>
          <w:highlight w:val="white"/>
        </w:rPr>
      </w:pPr>
      <w:r>
        <w:rPr>
          <w:highlight w:val="white"/>
        </w:rPr>
        <w:t xml:space="preserve">FPA. (2015). Regulation for multi-year activity subsidies 2017–2020. </w:t>
      </w:r>
      <w:hyperlink r:id="rId50">
        <w:r w:rsidR="007E003F">
          <w:rPr>
            <w:highlight w:val="white"/>
            <w:u w:val="single"/>
          </w:rPr>
          <w:t>https://fondspodiumkunsten.nl/files/p/nws.632.fpkmeerjarigeactiviteitenregeling2017202.pdf</w:t>
        </w:r>
      </w:hyperlink>
    </w:p>
    <w:p w14:paraId="282B3AA6" w14:textId="77777777" w:rsidR="007E003F" w:rsidRDefault="00E877AB">
      <w:pPr>
        <w:ind w:left="708" w:hanging="720"/>
        <w:rPr>
          <w:u w:val="single"/>
        </w:rPr>
      </w:pPr>
      <w:r>
        <w:t xml:space="preserve">FPA. (n.d.-a) </w:t>
      </w:r>
      <w:r>
        <w:rPr>
          <w:i/>
          <w:iCs/>
        </w:rPr>
        <w:t>Multi-Year Production Subsidies 2025–2028.</w:t>
      </w:r>
      <w:r>
        <w:t xml:space="preserve"> </w:t>
      </w:r>
      <w:hyperlink r:id="rId51" w:anchor=":~:text=De%20meerjarige%20productiesubsidie%202025%2D2028,de%20besluiten%20en%20de%20adviezen">
        <w:r w:rsidR="007E003F">
          <w:rPr>
            <w:u w:val="single"/>
          </w:rPr>
          <w:t>https://fondspodiumkunsten.nl/besluiten_meerjarige_subsidies_2025_2028/producties#:~:text=De%20meerjarige%20productiesubsidie%202025%2D2028,de%20besluiten%20en%20de%20adviezen</w:t>
        </w:r>
      </w:hyperlink>
    </w:p>
    <w:p w14:paraId="1D75B73E" w14:textId="77777777" w:rsidR="007E003F" w:rsidRDefault="00E877AB">
      <w:pPr>
        <w:ind w:left="708" w:hanging="720"/>
      </w:pPr>
      <w:r>
        <w:t xml:space="preserve">FPA. (n.d.-b). </w:t>
      </w:r>
      <w:r>
        <w:rPr>
          <w:i/>
          <w:iCs/>
        </w:rPr>
        <w:t>Multi-Year Production Subsidies 2021–2024.</w:t>
      </w:r>
      <w:hyperlink r:id="rId52" w:anchor=":~:text=De%20regeling%20meerjarige%20productiesubsidie%202021,opbouwen%20van%20een%20publiek%20daarvoor">
        <w:r w:rsidR="007E003F">
          <w:rPr>
            <w:i/>
            <w:iCs/>
          </w:rPr>
          <w:t xml:space="preserve"> </w:t>
        </w:r>
      </w:hyperlink>
      <w:hyperlink r:id="rId53" w:anchor=":~:text=De%20regeling%20meerjarige%20productiesubsidie%202021,opbouwen%20van%20een%20publiek%20daarvoor">
        <w:r w:rsidR="007E003F">
          <w:rPr>
            <w:u w:val="single"/>
          </w:rPr>
          <w:t>https://fondspodiumkunsten.nl/nl/subsidies/meerjarige_subsidies/meerjarige_productiesubsidies_20212024/#:~:text=De%20regeling%20meerjarige%20productiesubsidie%202021,opbouwen%20van%20een%20publiek%20daarvoor</w:t>
        </w:r>
      </w:hyperlink>
      <w:r>
        <w:t xml:space="preserve"> </w:t>
      </w:r>
    </w:p>
    <w:p w14:paraId="48037D32" w14:textId="77777777" w:rsidR="007E003F" w:rsidRDefault="00E877AB">
      <w:pPr>
        <w:ind w:left="708" w:hanging="720"/>
        <w:rPr>
          <w:u w:val="single"/>
        </w:rPr>
      </w:pPr>
      <w:r>
        <w:t xml:space="preserve">FPA. (n.d.-c). </w:t>
      </w:r>
      <w:r>
        <w:rPr>
          <w:i/>
          <w:iCs/>
        </w:rPr>
        <w:t>Multi-year activity subsidy Performing Arts Fund NL 2017–2020.</w:t>
      </w:r>
      <w:r>
        <w:t xml:space="preserve"> </w:t>
      </w:r>
      <w:hyperlink r:id="rId54">
        <w:r w:rsidR="007E003F">
          <w:rPr>
            <w:u w:val="single"/>
          </w:rPr>
          <w:t>https://meerjarigeadviezen.fondspodiumkunsten.nl/inleiding/</w:t>
        </w:r>
      </w:hyperlink>
    </w:p>
    <w:p w14:paraId="48E6BF6E" w14:textId="77777777" w:rsidR="007E003F" w:rsidRDefault="00E877AB">
      <w:pPr>
        <w:ind w:left="708" w:hanging="720"/>
        <w:rPr>
          <w:u w:val="single"/>
        </w:rPr>
      </w:pPr>
      <w:r>
        <w:lastRenderedPageBreak/>
        <w:t xml:space="preserve">Froelich, K. A. (1999). Diversification of revenue strategies: Evolving resource dependence in nonprofit organisations. </w:t>
      </w:r>
      <w:r>
        <w:rPr>
          <w:i/>
          <w:iCs/>
        </w:rPr>
        <w:t>Nonprofit and Voluntary Sector Quarterly, 28</w:t>
      </w:r>
      <w:r>
        <w:t>(3), 246-268.</w:t>
      </w:r>
      <w:hyperlink r:id="rId55">
        <w:r w:rsidR="007E003F">
          <w:t xml:space="preserve"> </w:t>
        </w:r>
      </w:hyperlink>
      <w:hyperlink r:id="rId56">
        <w:r w:rsidR="007E003F">
          <w:rPr>
            <w:u w:val="single"/>
          </w:rPr>
          <w:t>https://doi.org/10.1177/0899764099283002</w:t>
        </w:r>
      </w:hyperlink>
    </w:p>
    <w:p w14:paraId="574AB7C0" w14:textId="77777777" w:rsidR="007E003F" w:rsidRDefault="00E877AB">
      <w:pPr>
        <w:ind w:left="708" w:hanging="720"/>
      </w:pPr>
      <w:r>
        <w:t xml:space="preserve">Frumkin, P., &amp; Keating, E. K. (2011). Diversification reconsidered: The risks and rewards of revenue concentration. </w:t>
      </w:r>
      <w:r>
        <w:rPr>
          <w:i/>
          <w:iCs/>
        </w:rPr>
        <w:t>Journal of Social Entrepreneurship, 2</w:t>
      </w:r>
      <w:r>
        <w:t>(2), 151–164. https://doi.org/10.1080/19420676.2011.614630</w:t>
      </w:r>
    </w:p>
    <w:p w14:paraId="687823F4" w14:textId="77777777" w:rsidR="007E003F" w:rsidRDefault="00E877AB">
      <w:pPr>
        <w:ind w:left="708" w:hanging="720"/>
        <w:rPr>
          <w:highlight w:val="white"/>
        </w:rPr>
      </w:pPr>
      <w:r>
        <w:t xml:space="preserve">Galecki, A. T., &amp; Burzykowski, T. (2013). </w:t>
      </w:r>
      <w:r>
        <w:rPr>
          <w:i/>
          <w:iCs/>
        </w:rPr>
        <w:t>Linear Mixed-Effects Models Using R: A Step-by-Step Approach</w:t>
      </w:r>
      <w:r>
        <w:t xml:space="preserve">. Springer. </w:t>
      </w:r>
      <w:hyperlink r:id="rId57">
        <w:r w:rsidR="007E003F">
          <w:rPr>
            <w:highlight w:val="white"/>
            <w:u w:val="single"/>
          </w:rPr>
          <w:t>https://doi.org/10.1007/978-1-4614-3900-4</w:t>
        </w:r>
      </w:hyperlink>
    </w:p>
    <w:p w14:paraId="6408345C" w14:textId="77777777" w:rsidR="007E003F" w:rsidRDefault="00E877AB">
      <w:pPr>
        <w:ind w:left="708" w:hanging="720"/>
        <w:rPr>
          <w:highlight w:val="white"/>
        </w:rPr>
      </w:pPr>
      <w:r>
        <w:rPr>
          <w:highlight w:val="white"/>
        </w:rPr>
        <w:t xml:space="preserve">Gras, D., &amp; Mendoza-Abarca, K. I. (2013). Risky business? The survival implications of exploiting commercial opportunities by nonprofits. </w:t>
      </w:r>
      <w:r>
        <w:rPr>
          <w:i/>
          <w:iCs/>
          <w:highlight w:val="white"/>
        </w:rPr>
        <w:t>Journal of Business Venturing</w:t>
      </w:r>
      <w:r>
        <w:rPr>
          <w:highlight w:val="white"/>
        </w:rPr>
        <w:t xml:space="preserve">, </w:t>
      </w:r>
      <w:r>
        <w:rPr>
          <w:i/>
          <w:iCs/>
          <w:highlight w:val="white"/>
        </w:rPr>
        <w:t>29</w:t>
      </w:r>
      <w:r>
        <w:rPr>
          <w:highlight w:val="white"/>
        </w:rPr>
        <w:t xml:space="preserve">(3), 392–404. </w:t>
      </w:r>
      <w:hyperlink r:id="rId58">
        <w:r w:rsidR="007E003F">
          <w:rPr>
            <w:highlight w:val="white"/>
            <w:u w:val="single"/>
          </w:rPr>
          <w:t>https://doi.org/10.1016/j.jbusvent.2013.05.003</w:t>
        </w:r>
      </w:hyperlink>
    </w:p>
    <w:p w14:paraId="29CD9CC4" w14:textId="77777777" w:rsidR="007E003F" w:rsidRDefault="00E877AB">
      <w:pPr>
        <w:ind w:left="708" w:hanging="720"/>
        <w:rPr>
          <w:highlight w:val="white"/>
        </w:rPr>
      </w:pPr>
      <w:r>
        <w:rPr>
          <w:highlight w:val="white"/>
        </w:rPr>
        <w:t xml:space="preserve">Hersberger-Langloh, S. E. (2025). Between donors and beneficiaries: towards a theory of dynamic two-sided markets. </w:t>
      </w:r>
      <w:r>
        <w:rPr>
          <w:i/>
          <w:iCs/>
          <w:highlight w:val="white"/>
        </w:rPr>
        <w:t>Voluntary Sector Review</w:t>
      </w:r>
      <w:r>
        <w:rPr>
          <w:highlight w:val="white"/>
        </w:rPr>
        <w:t xml:space="preserve">, </w:t>
      </w:r>
      <w:r>
        <w:rPr>
          <w:i/>
          <w:iCs/>
          <w:highlight w:val="white"/>
        </w:rPr>
        <w:t>16</w:t>
      </w:r>
      <w:r>
        <w:rPr>
          <w:highlight w:val="white"/>
        </w:rPr>
        <w:t xml:space="preserve">(1), 2-19. </w:t>
      </w:r>
      <w:hyperlink r:id="rId59">
        <w:r w:rsidR="007E003F">
          <w:rPr>
            <w:highlight w:val="white"/>
          </w:rPr>
          <w:t>https://doi.org/10.1332/204080521X16118348043171</w:t>
        </w:r>
      </w:hyperlink>
    </w:p>
    <w:p w14:paraId="5003E1E5" w14:textId="77777777" w:rsidR="007E003F" w:rsidRDefault="00E877AB">
      <w:pPr>
        <w:ind w:left="708" w:hanging="720"/>
      </w:pPr>
      <w:r>
        <w:rPr>
          <w:highlight w:val="white"/>
        </w:rPr>
        <w:t xml:space="preserve">Hughes, K. (2024). Donations or statutory funding? Exploring the funding of historical childhood sexual abuse support services in England and Wales. </w:t>
      </w:r>
      <w:r>
        <w:rPr>
          <w:i/>
          <w:iCs/>
          <w:highlight w:val="white"/>
        </w:rPr>
        <w:t>Voluntary Sector Review</w:t>
      </w:r>
      <w:r>
        <w:rPr>
          <w:highlight w:val="white"/>
        </w:rPr>
        <w:t xml:space="preserve">, </w:t>
      </w:r>
      <w:r>
        <w:rPr>
          <w:i/>
          <w:iCs/>
          <w:highlight w:val="white"/>
        </w:rPr>
        <w:t>15</w:t>
      </w:r>
      <w:r>
        <w:rPr>
          <w:highlight w:val="white"/>
        </w:rPr>
        <w:t>(3), 419-435.</w:t>
      </w:r>
    </w:p>
    <w:p w14:paraId="3FFDEE1A" w14:textId="77777777" w:rsidR="007E003F" w:rsidRDefault="00E877AB">
      <w:pPr>
        <w:ind w:left="708" w:hanging="720"/>
        <w:rPr>
          <w:u w:val="single"/>
        </w:rPr>
      </w:pPr>
      <w:r>
        <w:t xml:space="preserve">Hughes, P., &amp; Luksetich, W. (2004). Nonprofit arts organisations: Do funding sources influence spending patterns? </w:t>
      </w:r>
      <w:r>
        <w:rPr>
          <w:i/>
          <w:iCs/>
        </w:rPr>
        <w:t>Nonprofit and Voluntary Sector Quarterly</w:t>
      </w:r>
      <w:r>
        <w:t xml:space="preserve">, </w:t>
      </w:r>
      <w:r>
        <w:rPr>
          <w:i/>
          <w:iCs/>
        </w:rPr>
        <w:t>33</w:t>
      </w:r>
      <w:r>
        <w:t>(2), 203–220.</w:t>
      </w:r>
      <w:hyperlink r:id="rId60">
        <w:r w:rsidR="007E003F">
          <w:t xml:space="preserve"> </w:t>
        </w:r>
      </w:hyperlink>
      <w:hyperlink r:id="rId61">
        <w:r w:rsidR="007E003F">
          <w:rPr>
            <w:u w:val="single"/>
          </w:rPr>
          <w:t>https://doi.org/10.1177/0899764004263320</w:t>
        </w:r>
      </w:hyperlink>
    </w:p>
    <w:p w14:paraId="0BA4221B" w14:textId="77777777" w:rsidR="007E003F" w:rsidRDefault="00E877AB">
      <w:pPr>
        <w:ind w:left="708" w:hanging="720"/>
        <w:rPr>
          <w:u w:val="single"/>
        </w:rPr>
      </w:pPr>
      <w:r>
        <w:t xml:space="preserve">Hung, C., &amp; Berrett, J. (2023). When Are Commercialized Nonprofits Less Likely to Offer Free Access? Evidence from the Performing Arts Subsector. </w:t>
      </w:r>
      <w:r>
        <w:rPr>
          <w:i/>
          <w:iCs/>
        </w:rPr>
        <w:t>Public Performance &amp; Management Review, 46</w:t>
      </w:r>
      <w:r>
        <w:t>(3), 644–665.</w:t>
      </w:r>
      <w:hyperlink r:id="rId62">
        <w:r w:rsidR="007E003F">
          <w:t xml:space="preserve"> </w:t>
        </w:r>
      </w:hyperlink>
      <w:hyperlink r:id="rId63">
        <w:r w:rsidR="007E003F">
          <w:rPr>
            <w:u w:val="single"/>
          </w:rPr>
          <w:t>https://doi-org.proxy.library.nyu.edu/10.1080/15309576.2023.2168283</w:t>
        </w:r>
      </w:hyperlink>
    </w:p>
    <w:p w14:paraId="32BD244D" w14:textId="77777777" w:rsidR="007E003F" w:rsidRDefault="00E877AB">
      <w:pPr>
        <w:ind w:left="708" w:hanging="720"/>
      </w:pPr>
      <w:bookmarkStart w:id="1" w:name="_heading=h.74hzocpkqmk5" w:colFirst="0" w:colLast="0"/>
      <w:bookmarkEnd w:id="1"/>
      <w:r>
        <w:t xml:space="preserve">Hung, C., &amp; Hager, M. A. (2018). The Impact of revenue Diversification on Nonprofit Financial Health: A Meta-analysis. </w:t>
      </w:r>
      <w:r>
        <w:rPr>
          <w:i/>
          <w:iCs/>
        </w:rPr>
        <w:t>Nonprofit and Voluntary Sector Quarterly</w:t>
      </w:r>
      <w:r>
        <w:t xml:space="preserve">, </w:t>
      </w:r>
      <w:r>
        <w:rPr>
          <w:i/>
          <w:iCs/>
        </w:rPr>
        <w:t>48</w:t>
      </w:r>
      <w:r>
        <w:t>(1), 5–27. https://doi.org/10.1177/0899764018807080</w:t>
      </w:r>
    </w:p>
    <w:p w14:paraId="1D26642F" w14:textId="77777777" w:rsidR="007E003F" w:rsidRDefault="00E877AB">
      <w:pPr>
        <w:ind w:left="708" w:hanging="720"/>
        <w:rPr>
          <w:u w:val="single"/>
        </w:rPr>
      </w:pPr>
      <w:r>
        <w:t xml:space="preserve">Huseynov, F., &amp; Yildirim, S. (2019). Online Consumer Typologies and Their Shopping Behaviors in B2C E-Commerce Platforms. </w:t>
      </w:r>
      <w:r>
        <w:rPr>
          <w:i/>
          <w:iCs/>
        </w:rPr>
        <w:t>SAGE Open</w:t>
      </w:r>
      <w:r>
        <w:t xml:space="preserve">, </w:t>
      </w:r>
      <w:r>
        <w:rPr>
          <w:i/>
          <w:iCs/>
        </w:rPr>
        <w:t>9</w:t>
      </w:r>
      <w:r>
        <w:t>(2), 215824401985463.</w:t>
      </w:r>
      <w:hyperlink r:id="rId64">
        <w:r w:rsidR="007E003F">
          <w:t xml:space="preserve"> </w:t>
        </w:r>
      </w:hyperlink>
      <w:hyperlink r:id="rId65">
        <w:r w:rsidR="007E003F">
          <w:rPr>
            <w:u w:val="single"/>
          </w:rPr>
          <w:t>https://doi.org/10.1177/2158244019854639</w:t>
        </w:r>
      </w:hyperlink>
    </w:p>
    <w:p w14:paraId="64DE1A1E" w14:textId="77777777" w:rsidR="007E003F" w:rsidRDefault="00E877AB">
      <w:pPr>
        <w:ind w:left="708" w:hanging="720"/>
        <w:rPr>
          <w:u w:val="single"/>
        </w:rPr>
      </w:pPr>
      <w:r>
        <w:t xml:space="preserve">Hwang, H., &amp; Powell, W. W. (2009). The Rationalization of Charity: The Influences of Professionalism in the Nonprofit Sector. </w:t>
      </w:r>
      <w:r>
        <w:rPr>
          <w:i/>
          <w:iCs/>
        </w:rPr>
        <w:t>Administrative Science Quarterly</w:t>
      </w:r>
      <w:r>
        <w:t xml:space="preserve">, </w:t>
      </w:r>
      <w:r>
        <w:rPr>
          <w:i/>
          <w:iCs/>
        </w:rPr>
        <w:t>54</w:t>
      </w:r>
      <w:r>
        <w:t>(2), 268–298.</w:t>
      </w:r>
      <w:hyperlink r:id="rId66">
        <w:r w:rsidR="007E003F">
          <w:t xml:space="preserve"> </w:t>
        </w:r>
      </w:hyperlink>
      <w:hyperlink r:id="rId67">
        <w:r w:rsidR="007E003F">
          <w:rPr>
            <w:u w:val="single"/>
          </w:rPr>
          <w:t>https://doi.org/10.2189/asqu.2009.54.2.268</w:t>
        </w:r>
      </w:hyperlink>
    </w:p>
    <w:p w14:paraId="379CCFD5" w14:textId="77777777" w:rsidR="007E003F" w:rsidRDefault="00E877AB">
      <w:pPr>
        <w:ind w:left="708" w:hanging="720"/>
      </w:pPr>
      <w:r>
        <w:t>Issuu Publisher Publications. (n.d.).</w:t>
      </w:r>
      <w:hyperlink r:id="rId68">
        <w:r w:rsidR="007E003F">
          <w:t xml:space="preserve"> </w:t>
        </w:r>
      </w:hyperlink>
      <w:hyperlink r:id="rId69">
        <w:r w:rsidR="007E003F">
          <w:rPr>
            <w:u w:val="single"/>
          </w:rPr>
          <w:t>https://issuu.com</w:t>
        </w:r>
      </w:hyperlink>
    </w:p>
    <w:p w14:paraId="15DDFD8A" w14:textId="77777777" w:rsidR="007E003F" w:rsidRDefault="00E877AB">
      <w:pPr>
        <w:ind w:left="708" w:hanging="720"/>
        <w:rPr>
          <w:highlight w:val="white"/>
        </w:rPr>
      </w:pPr>
      <w:r>
        <w:t xml:space="preserve">Kingma, B. R. (1993). Portfolio theory and nonprofit financial stability. </w:t>
      </w:r>
      <w:r>
        <w:rPr>
          <w:i/>
          <w:iCs/>
        </w:rPr>
        <w:t>Nonprofit and Voluntary Sector Quarterly, 22</w:t>
      </w:r>
      <w:r>
        <w:t>(2), 105–119. https://doi.org/10.1177/089976409302200202</w:t>
      </w:r>
    </w:p>
    <w:p w14:paraId="005464D6" w14:textId="77777777" w:rsidR="007E003F" w:rsidRDefault="00E877AB">
      <w:pPr>
        <w:ind w:left="708" w:hanging="720"/>
      </w:pPr>
      <w:r>
        <w:t xml:space="preserve">Ko, W. W., &amp; Liu, G. G. (2020). The Transformation from Traditional Nonprofit organisations to Social Enterprises: An Institutional Entrepreneurship Perspective. </w:t>
      </w:r>
      <w:r>
        <w:rPr>
          <w:i/>
          <w:iCs/>
        </w:rPr>
        <w:t>Journal of Business Ethics</w:t>
      </w:r>
      <w:r>
        <w:t xml:space="preserve">, </w:t>
      </w:r>
      <w:r>
        <w:rPr>
          <w:i/>
          <w:iCs/>
        </w:rPr>
        <w:t>171</w:t>
      </w:r>
      <w:r>
        <w:t>(1), 15–32.</w:t>
      </w:r>
      <w:hyperlink r:id="rId70">
        <w:r w:rsidR="007E003F">
          <w:t xml:space="preserve"> </w:t>
        </w:r>
      </w:hyperlink>
      <w:hyperlink r:id="rId71">
        <w:r w:rsidR="007E003F">
          <w:rPr>
            <w:u w:val="single"/>
          </w:rPr>
          <w:t>https://doi.org/10.1007/s10551-020-04446-z</w:t>
        </w:r>
      </w:hyperlink>
    </w:p>
    <w:p w14:paraId="1A0A473E" w14:textId="39EED6C4" w:rsidR="00E877AB" w:rsidRDefault="00E877AB">
      <w:pPr>
        <w:ind w:left="708" w:hanging="720"/>
        <w:rPr>
          <w:rFonts w:asciiTheme="majorBidi" w:hAnsiTheme="majorBidi" w:cstheme="majorBidi"/>
          <w:color w:val="222222"/>
          <w:shd w:val="clear" w:color="auto" w:fill="FFFFFF"/>
        </w:rPr>
      </w:pPr>
      <w:r w:rsidRPr="00E877AB">
        <w:rPr>
          <w:rFonts w:asciiTheme="majorBidi" w:hAnsiTheme="majorBidi" w:cstheme="majorBidi"/>
          <w:color w:val="222222"/>
          <w:shd w:val="clear" w:color="auto" w:fill="FFFFFF"/>
        </w:rPr>
        <w:t>Levine Daniel, J. (2021). All earned revenue is not created equal: Revenue embeddedness as a framework for exploring crowding-in/crowding-out effects. </w:t>
      </w:r>
      <w:r w:rsidRPr="00E877AB">
        <w:rPr>
          <w:rFonts w:asciiTheme="majorBidi" w:hAnsiTheme="majorBidi" w:cstheme="majorBidi"/>
          <w:i/>
          <w:iCs/>
          <w:color w:val="222222"/>
          <w:shd w:val="clear" w:color="auto" w:fill="FFFFFF"/>
        </w:rPr>
        <w:t>VOLUNTAS: International Journal of Voluntary and Nonprofit Organizations</w:t>
      </w:r>
      <w:r w:rsidRPr="00E877AB">
        <w:rPr>
          <w:rFonts w:asciiTheme="majorBidi" w:hAnsiTheme="majorBidi" w:cstheme="majorBidi"/>
          <w:color w:val="222222"/>
          <w:shd w:val="clear" w:color="auto" w:fill="FFFFFF"/>
        </w:rPr>
        <w:t>, </w:t>
      </w:r>
      <w:r w:rsidRPr="00E877AB">
        <w:rPr>
          <w:rFonts w:asciiTheme="majorBidi" w:hAnsiTheme="majorBidi" w:cstheme="majorBidi"/>
          <w:i/>
          <w:iCs/>
          <w:color w:val="222222"/>
          <w:shd w:val="clear" w:color="auto" w:fill="FFFFFF"/>
        </w:rPr>
        <w:t>32</w:t>
      </w:r>
      <w:r w:rsidRPr="00E877AB">
        <w:rPr>
          <w:rFonts w:asciiTheme="majorBidi" w:hAnsiTheme="majorBidi" w:cstheme="majorBidi"/>
          <w:color w:val="222222"/>
          <w:shd w:val="clear" w:color="auto" w:fill="FFFFFF"/>
        </w:rPr>
        <w:t>(5), 1027-1041</w:t>
      </w:r>
      <w:r>
        <w:rPr>
          <w:rFonts w:ascii="Arial" w:hAnsi="Arial" w:cs="Arial"/>
          <w:color w:val="222222"/>
          <w:sz w:val="20"/>
          <w:szCs w:val="20"/>
          <w:shd w:val="clear" w:color="auto" w:fill="FFFFFF"/>
        </w:rPr>
        <w:t>.</w:t>
      </w:r>
    </w:p>
    <w:p w14:paraId="7C4813C0" w14:textId="3A7D621B" w:rsidR="00E877AB" w:rsidRPr="00E877AB" w:rsidRDefault="00E877AB">
      <w:pPr>
        <w:ind w:left="708" w:hanging="720"/>
        <w:rPr>
          <w:rFonts w:asciiTheme="majorBidi" w:hAnsiTheme="majorBidi" w:cstheme="majorBidi"/>
          <w:color w:val="222222"/>
          <w:shd w:val="clear" w:color="auto" w:fill="FFFFFF"/>
        </w:rPr>
      </w:pPr>
      <w:r w:rsidRPr="00E877AB">
        <w:rPr>
          <w:rFonts w:asciiTheme="majorBidi" w:hAnsiTheme="majorBidi" w:cstheme="majorBidi"/>
          <w:color w:val="222222"/>
          <w:shd w:val="clear" w:color="auto" w:fill="FFFFFF"/>
        </w:rPr>
        <w:t>Levine Daniel, J., &amp; Galasso, M. (2019). Revenue embeddedness and competing institutional logics: How nonprofit leaders connect earned revenue to mission and organizational identity. </w:t>
      </w:r>
      <w:r w:rsidRPr="00E877AB">
        <w:rPr>
          <w:rFonts w:asciiTheme="majorBidi" w:hAnsiTheme="majorBidi" w:cstheme="majorBidi"/>
          <w:i/>
          <w:iCs/>
          <w:color w:val="222222"/>
          <w:shd w:val="clear" w:color="auto" w:fill="FFFFFF"/>
        </w:rPr>
        <w:t>Journal of Social Entrepreneurship</w:t>
      </w:r>
      <w:r w:rsidRPr="00E877AB">
        <w:rPr>
          <w:rFonts w:asciiTheme="majorBidi" w:hAnsiTheme="majorBidi" w:cstheme="majorBidi"/>
          <w:color w:val="222222"/>
          <w:shd w:val="clear" w:color="auto" w:fill="FFFFFF"/>
        </w:rPr>
        <w:t>, </w:t>
      </w:r>
      <w:r w:rsidRPr="00E877AB">
        <w:rPr>
          <w:rFonts w:asciiTheme="majorBidi" w:hAnsiTheme="majorBidi" w:cstheme="majorBidi"/>
          <w:i/>
          <w:iCs/>
          <w:color w:val="222222"/>
          <w:shd w:val="clear" w:color="auto" w:fill="FFFFFF"/>
        </w:rPr>
        <w:t>10</w:t>
      </w:r>
      <w:r w:rsidRPr="00E877AB">
        <w:rPr>
          <w:rFonts w:asciiTheme="majorBidi" w:hAnsiTheme="majorBidi" w:cstheme="majorBidi"/>
          <w:color w:val="222222"/>
          <w:shd w:val="clear" w:color="auto" w:fill="FFFFFF"/>
        </w:rPr>
        <w:t>(1), 84-107.</w:t>
      </w:r>
    </w:p>
    <w:p w14:paraId="23282145" w14:textId="71CDB93B" w:rsidR="00E877AB" w:rsidRPr="00E877AB" w:rsidRDefault="00E877AB">
      <w:pPr>
        <w:ind w:left="708" w:hanging="720"/>
        <w:rPr>
          <w:rFonts w:asciiTheme="majorBidi" w:hAnsiTheme="majorBidi" w:cstheme="majorBidi"/>
        </w:rPr>
      </w:pPr>
      <w:r w:rsidRPr="00E877AB">
        <w:rPr>
          <w:rFonts w:asciiTheme="majorBidi" w:hAnsiTheme="majorBidi" w:cstheme="majorBidi"/>
          <w:color w:val="222222"/>
          <w:shd w:val="clear" w:color="auto" w:fill="FFFFFF"/>
        </w:rPr>
        <w:t>Levine Daniel, J., &amp; Kim, M. (2018). The scale of mission-embeddedness as a nonprofit revenue classification tool: Different earned revenue types, different performance effects. </w:t>
      </w:r>
      <w:r w:rsidRPr="00E877AB">
        <w:rPr>
          <w:rFonts w:asciiTheme="majorBidi" w:hAnsiTheme="majorBidi" w:cstheme="majorBidi"/>
          <w:i/>
          <w:iCs/>
          <w:color w:val="222222"/>
          <w:shd w:val="clear" w:color="auto" w:fill="FFFFFF"/>
        </w:rPr>
        <w:t>Administration &amp; Society</w:t>
      </w:r>
      <w:r w:rsidRPr="00E877AB">
        <w:rPr>
          <w:rFonts w:asciiTheme="majorBidi" w:hAnsiTheme="majorBidi" w:cstheme="majorBidi"/>
          <w:color w:val="222222"/>
          <w:shd w:val="clear" w:color="auto" w:fill="FFFFFF"/>
        </w:rPr>
        <w:t>, </w:t>
      </w:r>
      <w:r w:rsidRPr="00E877AB">
        <w:rPr>
          <w:rFonts w:asciiTheme="majorBidi" w:hAnsiTheme="majorBidi" w:cstheme="majorBidi"/>
          <w:i/>
          <w:iCs/>
          <w:color w:val="222222"/>
          <w:shd w:val="clear" w:color="auto" w:fill="FFFFFF"/>
        </w:rPr>
        <w:t>50</w:t>
      </w:r>
      <w:r w:rsidRPr="00E877AB">
        <w:rPr>
          <w:rFonts w:asciiTheme="majorBidi" w:hAnsiTheme="majorBidi" w:cstheme="majorBidi"/>
          <w:color w:val="222222"/>
          <w:shd w:val="clear" w:color="auto" w:fill="FFFFFF"/>
        </w:rPr>
        <w:t>(7), 947-972.</w:t>
      </w:r>
    </w:p>
    <w:p w14:paraId="441F0C34" w14:textId="410851E6" w:rsidR="0009245C" w:rsidRDefault="0009245C">
      <w:pPr>
        <w:ind w:left="708" w:hanging="720"/>
      </w:pPr>
      <w:r w:rsidRPr="0009245C">
        <w:lastRenderedPageBreak/>
        <w:t>Loots, E. (2015). The Income Standard for the Performing and Visual Arts in the Netherlands. A Simple Indicator of Financial Performance or a Transition to Another Mode of Supporting Non-profit Organizations? </w:t>
      </w:r>
      <w:r w:rsidRPr="0009245C">
        <w:rPr>
          <w:i/>
          <w:iCs/>
        </w:rPr>
        <w:t>Zeitschrift für Kulturmanagement, 1</w:t>
      </w:r>
      <w:r w:rsidRPr="0009245C">
        <w:t>(1), 53-74. </w:t>
      </w:r>
      <w:hyperlink r:id="rId72" w:tgtFrame="_blank" w:history="1">
        <w:r w:rsidRPr="0009245C">
          <w:rPr>
            <w:rStyle w:val="Hyperlink"/>
          </w:rPr>
          <w:t>https://doi.org/10.14361/zkmm-2015-0105</w:t>
        </w:r>
      </w:hyperlink>
    </w:p>
    <w:p w14:paraId="678DB012" w14:textId="77777777" w:rsidR="0009245C" w:rsidRDefault="0009245C">
      <w:pPr>
        <w:ind w:left="708" w:hanging="720"/>
      </w:pPr>
      <w:r w:rsidRPr="0009245C">
        <w:t>Loots, E. (2019). Strings Attached to Arts Funding: Panel Assessments of Theater Organizations through the Lens of Agency Theory. </w:t>
      </w:r>
      <w:r w:rsidRPr="0009245C">
        <w:rPr>
          <w:i/>
          <w:iCs/>
        </w:rPr>
        <w:t>The Journal of Arts Management, Law, and Society</w:t>
      </w:r>
      <w:r w:rsidRPr="0009245C">
        <w:t>, </w:t>
      </w:r>
      <w:r w:rsidRPr="0009245C">
        <w:rPr>
          <w:i/>
          <w:iCs/>
        </w:rPr>
        <w:t>49</w:t>
      </w:r>
      <w:r w:rsidRPr="0009245C">
        <w:t>(4), 274–290. </w:t>
      </w:r>
      <w:hyperlink r:id="rId73" w:tgtFrame="_blank" w:history="1">
        <w:r w:rsidRPr="0009245C">
          <w:rPr>
            <w:rStyle w:val="Hyperlink"/>
          </w:rPr>
          <w:t>https://doi.org/10.1080/10632921.2019.1617812</w:t>
        </w:r>
      </w:hyperlink>
    </w:p>
    <w:p w14:paraId="40AD2714" w14:textId="48A7C718" w:rsidR="007E003F" w:rsidRDefault="00E877AB">
      <w:pPr>
        <w:ind w:left="708" w:hanging="720"/>
        <w:rPr>
          <w:u w:val="single"/>
        </w:rPr>
      </w:pPr>
      <w:r>
        <w:t xml:space="preserve">Mas-Machuca, M., Akhmedova, A., &amp; Marimon, F. (2023). The social mission works: Internalizing the mission to achieve organisational performance in social enterprises. </w:t>
      </w:r>
      <w:r>
        <w:rPr>
          <w:i/>
          <w:iCs/>
        </w:rPr>
        <w:t xml:space="preserve">Review of Management Science, 18, </w:t>
      </w:r>
      <w:r>
        <w:t>965–989.</w:t>
      </w:r>
      <w:hyperlink r:id="rId74">
        <w:r w:rsidR="007E003F">
          <w:t xml:space="preserve"> </w:t>
        </w:r>
      </w:hyperlink>
      <w:hyperlink r:id="rId75">
        <w:r w:rsidR="007E003F">
          <w:rPr>
            <w:u w:val="single"/>
          </w:rPr>
          <w:t>https://doi.org/10.1007/s11846-023-00627-y</w:t>
        </w:r>
      </w:hyperlink>
    </w:p>
    <w:p w14:paraId="4DC11317" w14:textId="77777777" w:rsidR="007E003F" w:rsidRDefault="00E877AB">
      <w:pPr>
        <w:ind w:left="708" w:hanging="720"/>
      </w:pPr>
      <w:r>
        <w:t xml:space="preserve">McClish, S. J., &amp; Reeve, K. M. (2018, July). </w:t>
      </w:r>
      <w:r>
        <w:rPr>
          <w:i/>
          <w:iCs/>
        </w:rPr>
        <w:t>Earned Income: The Secret to Success for the Nonprofit Seeking Financial Sustainability</w:t>
      </w:r>
      <w:r>
        <w:t xml:space="preserve"> (Proceedings of the International Association for Business and Society, Vol. 29, pp. 71–83). </w:t>
      </w:r>
      <w:hyperlink r:id="rId76">
        <w:r w:rsidR="007E003F">
          <w:rPr>
            <w:u w:val="single"/>
          </w:rPr>
          <w:t>https://doi.org/10.5840/iabsproc2018298</w:t>
        </w:r>
      </w:hyperlink>
    </w:p>
    <w:p w14:paraId="03064601" w14:textId="77777777" w:rsidR="007E003F" w:rsidRDefault="00E877AB">
      <w:pPr>
        <w:ind w:left="708" w:hanging="720"/>
        <w:rPr>
          <w:u w:val="single"/>
        </w:rPr>
      </w:pPr>
      <w:r>
        <w:t xml:space="preserve">McKeever, B., &amp; Pettijohn, S. L. (2014). </w:t>
      </w:r>
      <w:r>
        <w:rPr>
          <w:i/>
          <w:iCs/>
        </w:rPr>
        <w:t>The Nonprofit Sector in Brief 2014: Public Charities, Giving and Volunteering.</w:t>
      </w:r>
      <w:r>
        <w:t xml:space="preserve"> Urban institute.</w:t>
      </w:r>
      <w:hyperlink r:id="rId77">
        <w:r w:rsidR="007E003F">
          <w:t xml:space="preserve"> </w:t>
        </w:r>
      </w:hyperlink>
      <w:hyperlink r:id="rId78">
        <w:r w:rsidR="007E003F">
          <w:rPr>
            <w:u w:val="single"/>
          </w:rPr>
          <w:t>https://www.urban.org/research/publication/nonprofit-sector-brief-public-charities-giving-and-volunteering-2014</w:t>
        </w:r>
      </w:hyperlink>
    </w:p>
    <w:p w14:paraId="22B85661" w14:textId="77777777" w:rsidR="007E003F" w:rsidRDefault="00E877AB">
      <w:pPr>
        <w:ind w:left="708" w:hanging="720"/>
      </w:pPr>
      <w:r>
        <w:t>Ministero della Cultura. (2021, February 11)</w:t>
      </w:r>
      <w:r>
        <w:rPr>
          <w:b/>
          <w:bCs/>
        </w:rPr>
        <w:t>.</w:t>
      </w:r>
      <w:r>
        <w:t xml:space="preserve"> Ministerial Decree on the allocation of the Single Fund for the Performing Arts (FUS) for 2021. Direzione Generale Spettacolo.</w:t>
      </w:r>
      <w:hyperlink r:id="rId79">
        <w:r w:rsidR="007E003F">
          <w:t xml:space="preserve"> </w:t>
        </w:r>
      </w:hyperlink>
      <w:hyperlink r:id="rId80">
        <w:r w:rsidR="007E003F">
          <w:rPr>
            <w:u w:val="single"/>
          </w:rPr>
          <w:t>https://www.spettacolodalvivo.beniculturali.it/wp-content/uploads/2021/03/DM-11-febbraio-2021-Riparto-FUS-2021-signed.pdf</w:t>
        </w:r>
      </w:hyperlink>
    </w:p>
    <w:p w14:paraId="14D67BB2" w14:textId="77777777" w:rsidR="007E003F" w:rsidRDefault="00E877AB">
      <w:pPr>
        <w:ind w:left="708" w:hanging="720"/>
      </w:pPr>
      <w:r>
        <w:t xml:space="preserve">National Endowment for the Arts. (2023). </w:t>
      </w:r>
      <w:r>
        <w:rPr>
          <w:i/>
          <w:iCs/>
        </w:rPr>
        <w:t>Grant announcement—FY 2023 artistic discipline/field list (first round).</w:t>
      </w:r>
      <w:r>
        <w:t xml:space="preserve"> </w:t>
      </w:r>
      <w:hyperlink r:id="rId81">
        <w:r w:rsidR="007E003F">
          <w:rPr>
            <w:u w:val="single"/>
          </w:rPr>
          <w:t>https://www.arts.gov/grants/recent-grants/fy2023</w:t>
        </w:r>
      </w:hyperlink>
    </w:p>
    <w:p w14:paraId="0354057A" w14:textId="77777777" w:rsidR="007E003F" w:rsidRDefault="00E877AB">
      <w:pPr>
        <w:ind w:left="708" w:hanging="720"/>
      </w:pPr>
      <w:r>
        <w:t xml:space="preserve">OCW. (2015, February). </w:t>
      </w:r>
      <w:r>
        <w:rPr>
          <w:i/>
          <w:iCs/>
        </w:rPr>
        <w:t xml:space="preserve">Accountability Manual for Multi-Year Activity Subsidy 2013–2016. </w:t>
      </w:r>
      <w:r>
        <w:t>[PDF document].</w:t>
      </w:r>
      <w:hyperlink r:id="rId82">
        <w:r w:rsidR="007E003F">
          <w:t xml:space="preserve"> </w:t>
        </w:r>
      </w:hyperlink>
      <w:r>
        <w:t>https://www.cultuursubsidie.nl</w:t>
      </w:r>
    </w:p>
    <w:p w14:paraId="4962DA6F" w14:textId="77777777" w:rsidR="007E003F" w:rsidRDefault="00E877AB">
      <w:pPr>
        <w:ind w:left="708" w:hanging="720"/>
      </w:pPr>
      <w:r>
        <w:t xml:space="preserve">OCW. (2017, November 1). </w:t>
      </w:r>
      <w:r>
        <w:rPr>
          <w:i/>
          <w:iCs/>
        </w:rPr>
        <w:t>Institutions Manual for the Accountability of Cultural Subsidies 2017–2020.</w:t>
      </w:r>
      <w:r>
        <w:t xml:space="preserve"> https://catalogus.boekman.nl/pub/P18-0015.pdf</w:t>
      </w:r>
    </w:p>
    <w:p w14:paraId="7062A83E" w14:textId="77777777" w:rsidR="007E003F" w:rsidRDefault="00E877AB">
      <w:pPr>
        <w:ind w:left="708" w:hanging="720"/>
      </w:pPr>
      <w:r>
        <w:t xml:space="preserve">OCW. (2022, February 4). </w:t>
      </w:r>
      <w:r>
        <w:rPr>
          <w:i/>
          <w:iCs/>
        </w:rPr>
        <w:t xml:space="preserve">Institutions Manual for the Accountability of Cultural Subsidies 2021–2024. </w:t>
      </w:r>
      <w:hyperlink r:id="rId83">
        <w:r w:rsidR="007E003F">
          <w:rPr>
            <w:u w:val="single"/>
          </w:rPr>
          <w:t>https://www.cultuursubsidie.nl/documenten/publicaties/2021/11/10/handboek-verantwoording-cultuursubsidies-instellingen-2021-2024</w:t>
        </w:r>
      </w:hyperlink>
    </w:p>
    <w:p w14:paraId="13DD5427" w14:textId="77777777" w:rsidR="007E003F" w:rsidRDefault="00E877AB">
      <w:pPr>
        <w:ind w:left="708" w:hanging="720"/>
        <w:rPr>
          <w:u w:val="single"/>
        </w:rPr>
      </w:pPr>
      <w:r>
        <w:t>OCW. (n.d.).</w:t>
      </w:r>
      <w:r>
        <w:rPr>
          <w:i/>
          <w:iCs/>
        </w:rPr>
        <w:t xml:space="preserve"> </w:t>
      </w:r>
      <w:r>
        <w:t>Institutions Manual for the Accountability of Cultural Subsidies from the Funds 2009–2012.</w:t>
      </w:r>
      <w:hyperlink r:id="rId84">
        <w:r w:rsidR="007E003F">
          <w:t xml:space="preserve"> </w:t>
        </w:r>
      </w:hyperlink>
      <w:hyperlink r:id="rId85">
        <w:r w:rsidR="007E003F">
          <w:rPr>
            <w:u w:val="single"/>
          </w:rPr>
          <w:t>https://catalogue.boekman.nl/pub/P09-056.pdf</w:t>
        </w:r>
      </w:hyperlink>
    </w:p>
    <w:p w14:paraId="2CF218F0" w14:textId="77777777" w:rsidR="007E003F" w:rsidRDefault="00E877AB">
      <w:pPr>
        <w:ind w:left="708" w:hanging="720"/>
      </w:pPr>
      <w:r>
        <w:t xml:space="preserve">Owen, E., &amp; Shibli, S. (1998). </w:t>
      </w:r>
      <w:r>
        <w:rPr>
          <w:i/>
          <w:iCs/>
        </w:rPr>
        <w:t>Audience for contemporary dance: Key issues arising from a major study in Sheffield.</w:t>
      </w:r>
      <w:r>
        <w:t xml:space="preserve"> </w:t>
      </w:r>
      <w:r>
        <w:rPr>
          <w:i/>
          <w:iCs/>
        </w:rPr>
        <w:t>Journal of the Market Research Society, 40</w:t>
      </w:r>
      <w:r>
        <w:t>(3), 1–5.</w:t>
      </w:r>
      <w:hyperlink r:id="rId86">
        <w:r w:rsidR="007E003F">
          <w:t xml:space="preserve"> </w:t>
        </w:r>
      </w:hyperlink>
      <w:hyperlink r:id="rId87">
        <w:r w:rsidR="007E003F">
          <w:rPr>
            <w:u w:val="single"/>
          </w:rPr>
          <w:t>https://doi.org/10.1177/147078539804000307</w:t>
        </w:r>
      </w:hyperlink>
    </w:p>
    <w:p w14:paraId="5EB36E93" w14:textId="77777777" w:rsidR="007E003F" w:rsidRDefault="00E877AB">
      <w:pPr>
        <w:ind w:left="708" w:hanging="720"/>
      </w:pPr>
      <w:r>
        <w:t xml:space="preserve">Pache, A. C., &amp; Santos, F. (2013). Inside the Hybrid organisation: Selective coupling as a response to competing institutional logics. </w:t>
      </w:r>
      <w:r>
        <w:rPr>
          <w:i/>
          <w:iCs/>
        </w:rPr>
        <w:t>Academy of Management Journal, 56</w:t>
      </w:r>
      <w:r>
        <w:t>(4), 972–1001.</w:t>
      </w:r>
      <w:hyperlink r:id="rId88">
        <w:r w:rsidR="007E003F">
          <w:t xml:space="preserve"> </w:t>
        </w:r>
      </w:hyperlink>
      <w:hyperlink r:id="rId89">
        <w:r w:rsidR="007E003F">
          <w:rPr>
            <w:u w:val="single"/>
          </w:rPr>
          <w:t>http://www.jstor.org/stable/43589202</w:t>
        </w:r>
      </w:hyperlink>
    </w:p>
    <w:p w14:paraId="24A5F0DE" w14:textId="77777777" w:rsidR="007E003F" w:rsidRDefault="00E877AB">
      <w:pPr>
        <w:ind w:left="708" w:hanging="720"/>
        <w:rPr>
          <w:u w:val="single"/>
        </w:rPr>
      </w:pPr>
      <w:r>
        <w:rPr>
          <w:highlight w:val="white"/>
        </w:rPr>
        <w:t xml:space="preserve">R Core Team (2023). </w:t>
      </w:r>
      <w:r>
        <w:rPr>
          <w:i/>
          <w:iCs/>
          <w:highlight w:val="white"/>
        </w:rPr>
        <w:t>R: A language and environment for statistical computing</w:t>
      </w:r>
      <w:r>
        <w:rPr>
          <w:highlight w:val="white"/>
        </w:rPr>
        <w:t>. R Foundation for Statistical Computing, Vienna, Austria. URL</w:t>
      </w:r>
      <w:hyperlink r:id="rId90">
        <w:r w:rsidR="007E003F">
          <w:rPr>
            <w:highlight w:val="white"/>
          </w:rPr>
          <w:t xml:space="preserve"> https://www.R-project.org/</w:t>
        </w:r>
      </w:hyperlink>
    </w:p>
    <w:p w14:paraId="0D164AF8" w14:textId="77777777" w:rsidR="007E003F" w:rsidRDefault="00E877AB">
      <w:pPr>
        <w:ind w:left="708" w:hanging="720"/>
      </w:pPr>
      <w:r>
        <w:rPr>
          <w:highlight w:val="white"/>
        </w:rPr>
        <w:t xml:space="preserve">Sacristán López de los Mozos, I., Rodríguez Duarte, A., &amp; Rodríguez Ruiz, Ó. (2016). Resource dependence in non-profit organisations: Is it harder to fundraise if you diversify your revenue structure?. </w:t>
      </w:r>
      <w:r>
        <w:rPr>
          <w:i/>
          <w:iCs/>
          <w:highlight w:val="white"/>
        </w:rPr>
        <w:t>VOLUNTAS: International Journal of Voluntary and Nonprofit organisations</w:t>
      </w:r>
      <w:r>
        <w:rPr>
          <w:highlight w:val="white"/>
        </w:rPr>
        <w:t xml:space="preserve">, </w:t>
      </w:r>
      <w:r>
        <w:rPr>
          <w:i/>
          <w:iCs/>
          <w:highlight w:val="white"/>
        </w:rPr>
        <w:t>27</w:t>
      </w:r>
      <w:r>
        <w:rPr>
          <w:highlight w:val="white"/>
        </w:rPr>
        <w:t>, 2641-2665.</w:t>
      </w:r>
    </w:p>
    <w:p w14:paraId="2B46C929" w14:textId="77777777" w:rsidR="007E003F" w:rsidRDefault="00E877AB">
      <w:pPr>
        <w:ind w:left="708" w:hanging="720"/>
      </w:pPr>
      <w:r>
        <w:t xml:space="preserve">Schuster, J. M. D. (1988). </w:t>
      </w:r>
      <w:r>
        <w:rPr>
          <w:i/>
          <w:iCs/>
        </w:rPr>
        <w:t xml:space="preserve">Government Leverage of Private Support: Matching Grants and the Problem With New Money. </w:t>
      </w:r>
      <w:r>
        <w:t>Washington: Americans for the Arts.</w:t>
      </w:r>
    </w:p>
    <w:p w14:paraId="55A00528" w14:textId="77777777" w:rsidR="007E003F" w:rsidRDefault="00E877AB">
      <w:pPr>
        <w:ind w:left="708" w:hanging="720"/>
      </w:pPr>
      <w:r>
        <w:lastRenderedPageBreak/>
        <w:t xml:space="preserve">Smith, T.M. (2003). </w:t>
      </w:r>
      <w:r>
        <w:rPr>
          <w:i/>
          <w:iCs/>
        </w:rPr>
        <w:t>Raising the Barre: The geographic, financial, and economic trends of nonprofit dance companies</w:t>
      </w:r>
      <w:r>
        <w:t xml:space="preserve">. National Endowment for the Arts, Research Division Report. </w:t>
      </w:r>
      <w:hyperlink r:id="rId91">
        <w:r w:rsidR="007E003F">
          <w:rPr>
            <w:u w:val="single"/>
          </w:rPr>
          <w:t>https://www.arts.gov/impact/research/publications/raising-barre-geographic-financial-and-economic-trends-nonprofit-dance-companies</w:t>
        </w:r>
      </w:hyperlink>
    </w:p>
    <w:p w14:paraId="76F2B282" w14:textId="77777777" w:rsidR="007E003F" w:rsidRDefault="00E877AB">
      <w:pPr>
        <w:ind w:left="708" w:hanging="720"/>
      </w:pPr>
      <w:r>
        <w:t xml:space="preserve">Smith, T. M. (2003b). The effect of NEA grants on the contributions to nonprofit dance companies. </w:t>
      </w:r>
      <w:r>
        <w:rPr>
          <w:i/>
          <w:iCs/>
        </w:rPr>
        <w:t>Journal of Arts Management, Law and Society, 33</w:t>
      </w:r>
      <w:r>
        <w:t>(2), 98–113. https://doi.org/10.1080/10632920309597339</w:t>
      </w:r>
    </w:p>
    <w:p w14:paraId="57B72368" w14:textId="77777777" w:rsidR="007E003F" w:rsidRDefault="00E877AB">
      <w:pPr>
        <w:ind w:left="708" w:hanging="720"/>
        <w:rPr>
          <w:u w:val="single"/>
        </w:rPr>
      </w:pPr>
      <w:r>
        <w:t xml:space="preserve">Suykens, B., Maier, F., Meyer, M., &amp; Verschuere, B. (2023). Business-Like and Still Serving Society? Investigating the Relationship Between NPOs Being Business-Like and Their Societal Roles. </w:t>
      </w:r>
      <w:r>
        <w:rPr>
          <w:i/>
          <w:iCs/>
        </w:rPr>
        <w:t>Nonprofit and Voluntary Sector Quarterly, 52</w:t>
      </w:r>
      <w:r>
        <w:t>(3), 682-703.</w:t>
      </w:r>
      <w:hyperlink r:id="rId92">
        <w:r w:rsidR="007E003F">
          <w:t xml:space="preserve"> </w:t>
        </w:r>
      </w:hyperlink>
      <w:hyperlink r:id="rId93">
        <w:r w:rsidR="007E003F">
          <w:rPr>
            <w:u w:val="single"/>
          </w:rPr>
          <w:t>https://doi-org.proxy.library.nyu.edu/10.1177/08997640221106979</w:t>
        </w:r>
      </w:hyperlink>
    </w:p>
    <w:p w14:paraId="27D62220" w14:textId="77777777" w:rsidR="007E003F" w:rsidRDefault="00E877AB">
      <w:pPr>
        <w:ind w:left="708" w:hanging="720"/>
      </w:pPr>
      <w:r>
        <w:t xml:space="preserve">Throsby, C. D., &amp; Withers, G. A. (1979). </w:t>
      </w:r>
      <w:r>
        <w:rPr>
          <w:i/>
          <w:iCs/>
        </w:rPr>
        <w:t>The Economics of the performing arts</w:t>
      </w:r>
      <w:r>
        <w:t>. Hodder Education.</w:t>
      </w:r>
    </w:p>
    <w:p w14:paraId="5CE7FB31" w14:textId="77777777" w:rsidR="007E003F" w:rsidRDefault="00E877AB">
      <w:pPr>
        <w:ind w:left="708" w:hanging="720"/>
        <w:rPr>
          <w:u w:val="single"/>
        </w:rPr>
      </w:pPr>
      <w:r>
        <w:t xml:space="preserve">Trussel, J.M. &amp; Greenlee, J.S. (2004). A financial rating system for charitable non profit organisations. In P.A. Coopley &amp; E.B. Douthett (eds.), </w:t>
      </w:r>
      <w:r>
        <w:rPr>
          <w:i/>
          <w:iCs/>
        </w:rPr>
        <w:t>Research in governmental and non-profit accounting</w:t>
      </w:r>
      <w:r>
        <w:t xml:space="preserve"> (pp. 93–116). Elsevier.</w:t>
      </w:r>
      <w:hyperlink r:id="rId94">
        <w:r w:rsidR="007E003F">
          <w:t xml:space="preserve"> </w:t>
        </w:r>
      </w:hyperlink>
      <w:hyperlink r:id="rId95">
        <w:r w:rsidR="007E003F">
          <w:rPr>
            <w:u w:val="single"/>
          </w:rPr>
          <w:t>https://doi.org/10.1016/s0884-0741(04)11005-7</w:t>
        </w:r>
      </w:hyperlink>
    </w:p>
    <w:p w14:paraId="4A9C7146" w14:textId="77777777" w:rsidR="007E003F" w:rsidRDefault="00E877AB">
      <w:pPr>
        <w:ind w:left="708" w:hanging="720"/>
      </w:pPr>
      <w:r>
        <w:t xml:space="preserve">Tuckman, H. P., &amp; Chang, C. F. (1991). A methodology for measuring the financial vulnerability of charitable nonprofit organisations. </w:t>
      </w:r>
      <w:r>
        <w:rPr>
          <w:i/>
          <w:iCs/>
        </w:rPr>
        <w:t>Nonprofit and Voluntary Sector Quarterly</w:t>
      </w:r>
      <w:r>
        <w:t xml:space="preserve">, </w:t>
      </w:r>
      <w:r>
        <w:rPr>
          <w:i/>
          <w:iCs/>
        </w:rPr>
        <w:t>20</w:t>
      </w:r>
      <w:r>
        <w:t>(4), 445–460.</w:t>
      </w:r>
      <w:hyperlink r:id="rId96">
        <w:r w:rsidR="007E003F">
          <w:t xml:space="preserve"> </w:t>
        </w:r>
      </w:hyperlink>
      <w:hyperlink r:id="rId97">
        <w:r w:rsidR="007E003F">
          <w:rPr>
            <w:u w:val="single"/>
          </w:rPr>
          <w:t>https://doi.org/10.1177/089976409102000407</w:t>
        </w:r>
      </w:hyperlink>
    </w:p>
    <w:p w14:paraId="6EB26889" w14:textId="77777777" w:rsidR="007E003F" w:rsidRDefault="00E877AB">
      <w:pPr>
        <w:ind w:left="708" w:hanging="720"/>
      </w:pPr>
      <w:r>
        <w:t xml:space="preserve">Tuckman, H. P., &amp; Chang, C. F. (1994). Revenue diversification among non-profits. </w:t>
      </w:r>
      <w:r>
        <w:rPr>
          <w:i/>
          <w:iCs/>
        </w:rPr>
        <w:t>VOLUNTAS: International Journal of Voluntary and Nonprofit organisations, 5</w:t>
      </w:r>
      <w:r>
        <w:t>(3), 273–290.</w:t>
      </w:r>
      <w:hyperlink r:id="rId98">
        <w:r w:rsidR="007E003F">
          <w:t xml:space="preserve"> </w:t>
        </w:r>
      </w:hyperlink>
      <w:hyperlink r:id="rId99">
        <w:r w:rsidR="007E003F">
          <w:rPr>
            <w:highlight w:val="white"/>
            <w:u w:val="single"/>
          </w:rPr>
          <w:t>https://doi.org/10.1007/BF02354036</w:t>
        </w:r>
      </w:hyperlink>
    </w:p>
    <w:p w14:paraId="4D61555E" w14:textId="77777777" w:rsidR="007E003F" w:rsidRDefault="00E877AB">
      <w:pPr>
        <w:pBdr>
          <w:top w:val="nil"/>
          <w:left w:val="nil"/>
          <w:bottom w:val="nil"/>
          <w:right w:val="nil"/>
          <w:between w:val="nil"/>
        </w:pBdr>
        <w:ind w:left="720" w:hanging="720"/>
      </w:pPr>
      <w:r>
        <w:t xml:space="preserve">Van Buuren, S. (2018). Flexible Imputation of Missing Data, Second Edition. </w:t>
      </w:r>
      <w:r>
        <w:rPr>
          <w:i/>
          <w:iCs/>
        </w:rPr>
        <w:t>Chapman and Hall/CRC eBooks</w:t>
      </w:r>
      <w:r>
        <w:t xml:space="preserve">. </w:t>
      </w:r>
      <w:hyperlink r:id="rId100">
        <w:r w:rsidR="007E003F">
          <w:rPr>
            <w:u w:val="single"/>
          </w:rPr>
          <w:t>https://doi.org/10.1201/9780429492259</w:t>
        </w:r>
      </w:hyperlink>
    </w:p>
    <w:p w14:paraId="2A14CBE5" w14:textId="77777777" w:rsidR="007E003F" w:rsidRDefault="00E877AB">
      <w:pPr>
        <w:pBdr>
          <w:top w:val="nil"/>
          <w:left w:val="nil"/>
          <w:bottom w:val="nil"/>
          <w:right w:val="nil"/>
          <w:between w:val="nil"/>
        </w:pBdr>
        <w:ind w:left="720" w:hanging="720"/>
      </w:pPr>
      <w:r>
        <w:t xml:space="preserve">Van Der Heijden, H. (2013). Small is beautiful? Financial efficiency of small fundraising charities. </w:t>
      </w:r>
      <w:r>
        <w:rPr>
          <w:i/>
          <w:iCs/>
        </w:rPr>
        <w:t>The British Accounting Review</w:t>
      </w:r>
      <w:r>
        <w:t xml:space="preserve">, </w:t>
      </w:r>
      <w:r>
        <w:rPr>
          <w:i/>
          <w:iCs/>
        </w:rPr>
        <w:t>45</w:t>
      </w:r>
      <w:r>
        <w:t>(1), 50–57. https://doi.org/10.1016/j.bar.2012.12.004</w:t>
      </w:r>
    </w:p>
    <w:p w14:paraId="7ADED45F" w14:textId="77777777" w:rsidR="007E003F" w:rsidRDefault="00E877AB">
      <w:pPr>
        <w:pBdr>
          <w:top w:val="nil"/>
          <w:left w:val="nil"/>
          <w:bottom w:val="nil"/>
          <w:right w:val="nil"/>
          <w:between w:val="nil"/>
        </w:pBdr>
        <w:ind w:left="720" w:hanging="720"/>
      </w:pPr>
      <w:r>
        <w:t xml:space="preserve">Van der Horst, A., de Kleuver, J., &amp; Bogaart, A. (2017, August 28). </w:t>
      </w:r>
      <w:r>
        <w:rPr>
          <w:i/>
          <w:iCs/>
        </w:rPr>
        <w:t xml:space="preserve">Ondernemerschap in Cultuur. Evaluatie van het Programma Ondernemerschap Cultuur 2013-2016. [Entrepreneurship in Culture. Evaluation of the Entrepreneurship Culture Program 2013-2016]. </w:t>
      </w:r>
      <w:r>
        <w:t xml:space="preserve">DSP-groep. </w:t>
      </w:r>
    </w:p>
    <w:p w14:paraId="51864BF4" w14:textId="77777777" w:rsidR="007E003F" w:rsidRDefault="00E877AB">
      <w:pPr>
        <w:pBdr>
          <w:top w:val="nil"/>
          <w:left w:val="nil"/>
          <w:bottom w:val="nil"/>
          <w:right w:val="nil"/>
          <w:between w:val="nil"/>
        </w:pBdr>
        <w:ind w:left="720" w:hanging="720"/>
      </w:pPr>
      <w:r>
        <w:t xml:space="preserve">Van der Veen, S., Gielen, M., de Jong, P., Bilo, N., van Kleef, D., &amp; Faber, D. (2018, December 11). </w:t>
      </w:r>
      <w:r>
        <w:rPr>
          <w:i/>
          <w:iCs/>
        </w:rPr>
        <w:t xml:space="preserve">Evaluation of the 2013-2016 multi-year activity grant scheme. </w:t>
      </w:r>
      <w:r>
        <w:t>(Report No. 1666). Ape.</w:t>
      </w:r>
      <w:r>
        <w:rPr>
          <w:i/>
          <w:iCs/>
        </w:rPr>
        <w:t xml:space="preserve"> </w:t>
      </w:r>
      <w:r>
        <w:t>https://fondspodiumkunsten.nl/content/nieuws/i_887/evaluatiemeerjarigeactiviteitensubsidier.pdf</w:t>
      </w:r>
    </w:p>
    <w:p w14:paraId="281CAAD5" w14:textId="77777777" w:rsidR="007E003F" w:rsidRDefault="00E877AB">
      <w:pPr>
        <w:pBdr>
          <w:top w:val="nil"/>
          <w:left w:val="nil"/>
          <w:bottom w:val="nil"/>
          <w:right w:val="nil"/>
          <w:between w:val="nil"/>
        </w:pBdr>
        <w:ind w:left="720" w:hanging="720"/>
      </w:pPr>
      <w:r>
        <w:t xml:space="preserve">Verbeke, G., &amp; Molenberghs, G. (1997). Linear mixed models in practice. In P. Bühlmann, P. Diggle, U. Gather, &amp; S. Zeger (Eds.), </w:t>
      </w:r>
      <w:r>
        <w:rPr>
          <w:i/>
          <w:iCs/>
        </w:rPr>
        <w:t>Lecture notes in statistics</w:t>
      </w:r>
      <w:r>
        <w:t>. Springer.</w:t>
      </w:r>
      <w:hyperlink r:id="rId101">
        <w:r w:rsidR="007E003F">
          <w:t xml:space="preserve"> </w:t>
        </w:r>
      </w:hyperlink>
      <w:hyperlink r:id="rId102">
        <w:r w:rsidR="007E003F">
          <w:rPr>
            <w:u w:val="single"/>
          </w:rPr>
          <w:t>https://doi.org/10.1007/978-1-4612-2294-1</w:t>
        </w:r>
      </w:hyperlink>
    </w:p>
    <w:p w14:paraId="6ED26306" w14:textId="77777777" w:rsidR="007E003F" w:rsidRDefault="00E877AB">
      <w:pPr>
        <w:pBdr>
          <w:top w:val="nil"/>
          <w:left w:val="nil"/>
          <w:bottom w:val="nil"/>
          <w:right w:val="nil"/>
          <w:between w:val="nil"/>
        </w:pBdr>
        <w:ind w:left="720" w:hanging="720"/>
      </w:pPr>
      <w:r>
        <w:t xml:space="preserve">Young, D. R. &amp; Salamon, L.M. (2002). Commercialization, Social Ventures, and For-Profit Competition. In Lester M. Salamon (Eds.), </w:t>
      </w:r>
      <w:r>
        <w:rPr>
          <w:i/>
          <w:iCs/>
        </w:rPr>
        <w:t>The State of Nonprofit America</w:t>
      </w:r>
      <w:r>
        <w:t xml:space="preserve">, (pp.423-446). Washington DC: Brookings Institution Press </w:t>
      </w:r>
    </w:p>
    <w:p w14:paraId="182DDF7C" w14:textId="77777777" w:rsidR="007E003F" w:rsidRDefault="00E877AB">
      <w:pPr>
        <w:pBdr>
          <w:top w:val="nil"/>
          <w:left w:val="nil"/>
          <w:bottom w:val="nil"/>
          <w:right w:val="nil"/>
          <w:between w:val="nil"/>
        </w:pBdr>
        <w:ind w:left="720" w:hanging="720"/>
      </w:pPr>
      <w:r>
        <w:t xml:space="preserve">Young, D. R., Wilsker, A. L., &amp; Grinsfelder, M. C. (2010). Understanding the determinants of nonprofit income portfolios. </w:t>
      </w:r>
      <w:r>
        <w:rPr>
          <w:i/>
          <w:iCs/>
        </w:rPr>
        <w:t>Voluntary Sector Review,</w:t>
      </w:r>
      <w:r>
        <w:t xml:space="preserve"> 1(2), 161-173. </w:t>
      </w:r>
    </w:p>
    <w:p w14:paraId="32E346BA" w14:textId="77777777" w:rsidR="007E003F" w:rsidRDefault="00E877AB">
      <w:pPr>
        <w:pBdr>
          <w:top w:val="nil"/>
          <w:left w:val="nil"/>
          <w:bottom w:val="nil"/>
          <w:right w:val="nil"/>
          <w:between w:val="nil"/>
        </w:pBdr>
        <w:ind w:left="720" w:hanging="720"/>
      </w:pPr>
      <w:r>
        <w:t xml:space="preserve">Zietlow, J. T., Hankin, J. A., Seidner, A. G., &amp; O’Brien, T. (2007). Financial management for nonprofit organisations: policies and practices. </w:t>
      </w:r>
      <w:r>
        <w:rPr>
          <w:i/>
          <w:iCs/>
        </w:rPr>
        <w:t>Choice Reviews Online</w:t>
      </w:r>
      <w:r>
        <w:t xml:space="preserve">, </w:t>
      </w:r>
      <w:r>
        <w:rPr>
          <w:i/>
          <w:iCs/>
        </w:rPr>
        <w:t>44</w:t>
      </w:r>
      <w:r>
        <w:t xml:space="preserve">(10), 44–5750. </w:t>
      </w:r>
      <w:hyperlink r:id="rId103">
        <w:r w:rsidR="007E003F">
          <w:rPr>
            <w:u w:val="single"/>
          </w:rPr>
          <w:t>https://doi.org/10.5860/choice.44-5750</w:t>
        </w:r>
      </w:hyperlink>
      <w:r>
        <w:t xml:space="preserve"> </w:t>
      </w:r>
    </w:p>
    <w:p w14:paraId="541D2DA1" w14:textId="77777777" w:rsidR="007E003F" w:rsidRDefault="007E003F">
      <w:pPr>
        <w:spacing w:line="360" w:lineRule="auto"/>
      </w:pPr>
    </w:p>
    <w:sectPr w:rsidR="007E003F">
      <w:footerReference w:type="even" r:id="rId104"/>
      <w:footerReference w:type="default" r:id="rId105"/>
      <w:headerReference w:type="first" r:id="rId10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EB822" w14:textId="77777777" w:rsidR="00441BA8" w:rsidRDefault="00441BA8">
      <w:r>
        <w:separator/>
      </w:r>
    </w:p>
  </w:endnote>
  <w:endnote w:type="continuationSeparator" w:id="0">
    <w:p w14:paraId="1AF03BC1" w14:textId="77777777" w:rsidR="00441BA8" w:rsidRDefault="00441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8258CF8-7F88-403D-AF26-1B34D1B9E403}"/>
  </w:font>
  <w:font w:name="Roboto">
    <w:charset w:val="00"/>
    <w:family w:val="auto"/>
    <w:pitch w:val="variable"/>
    <w:sig w:usb0="E0000AFF" w:usb1="5000217F" w:usb2="00000021" w:usb3="00000000" w:csb0="0000019F" w:csb1="00000000"/>
    <w:embedRegular r:id="rId2" w:fontKey="{E8C96FF6-ADF0-4FFC-8A7F-64C703CC605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FA227420-A8D7-49DB-969C-234D7E159E77}"/>
  </w:font>
  <w:font w:name="Calibri">
    <w:panose1 w:val="020F0502020204030204"/>
    <w:charset w:val="00"/>
    <w:family w:val="swiss"/>
    <w:pitch w:val="variable"/>
    <w:sig w:usb0="E4002EFF" w:usb1="C200247B" w:usb2="00000009" w:usb3="00000000" w:csb0="000001FF" w:csb1="00000000"/>
    <w:embedRegular r:id="rId4" w:fontKey="{5FAA8726-9175-4197-8F8B-448305F8A4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5273D" w14:textId="77777777" w:rsidR="00E877AB" w:rsidRDefault="00E877AB">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59AF3822" w14:textId="77777777" w:rsidR="00E877AB" w:rsidRDefault="00E877AB">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32BA9" w14:textId="77777777" w:rsidR="00E877AB" w:rsidRDefault="00E877AB">
    <w:pPr>
      <w:pBdr>
        <w:top w:val="nil"/>
        <w:left w:val="nil"/>
        <w:bottom w:val="nil"/>
        <w:right w:val="nil"/>
        <w:between w:val="nil"/>
      </w:pBdr>
      <w:tabs>
        <w:tab w:val="center" w:pos="4513"/>
        <w:tab w:val="right" w:pos="9026"/>
      </w:tabs>
      <w:jc w:val="right"/>
      <w:rPr>
        <w:color w:val="000000"/>
      </w:rPr>
    </w:pPr>
  </w:p>
  <w:p w14:paraId="421EBB73" w14:textId="77777777" w:rsidR="00E877AB" w:rsidRDefault="00E877AB">
    <w:pPr>
      <w:pBdr>
        <w:top w:val="nil"/>
        <w:left w:val="nil"/>
        <w:bottom w:val="nil"/>
        <w:right w:val="nil"/>
        <w:between w:val="nil"/>
      </w:pBdr>
      <w:tabs>
        <w:tab w:val="center" w:pos="4513"/>
        <w:tab w:val="right" w:pos="9026"/>
        <w:tab w:val="left" w:pos="1218"/>
      </w:tabs>
      <w:ind w:right="360"/>
    </w:pPr>
  </w:p>
  <w:p w14:paraId="300A0870" w14:textId="77777777" w:rsidR="00E877AB" w:rsidRDefault="00E877AB">
    <w:pPr>
      <w:pBdr>
        <w:top w:val="nil"/>
        <w:left w:val="nil"/>
        <w:bottom w:val="nil"/>
        <w:right w:val="nil"/>
        <w:between w:val="nil"/>
      </w:pBdr>
      <w:tabs>
        <w:tab w:val="center" w:pos="4513"/>
        <w:tab w:val="right" w:pos="9026"/>
        <w:tab w:val="left" w:pos="1218"/>
      </w:tabs>
      <w:ind w:right="360"/>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FE419" w14:textId="77777777" w:rsidR="00441BA8" w:rsidRDefault="00441BA8">
      <w:r>
        <w:separator/>
      </w:r>
    </w:p>
  </w:footnote>
  <w:footnote w:type="continuationSeparator" w:id="0">
    <w:p w14:paraId="68B8D835" w14:textId="77777777" w:rsidR="00441BA8" w:rsidRDefault="00441BA8">
      <w:r>
        <w:continuationSeparator/>
      </w:r>
    </w:p>
  </w:footnote>
  <w:footnote w:id="1">
    <w:p w14:paraId="777DE842" w14:textId="597AE983" w:rsidR="00350A36" w:rsidRPr="00350A36" w:rsidRDefault="00350A36">
      <w:pPr>
        <w:pStyle w:val="FootnoteText"/>
        <w:rPr>
          <w:lang w:val="en-US"/>
        </w:rPr>
      </w:pPr>
      <w:r>
        <w:rPr>
          <w:rStyle w:val="FootnoteReference"/>
        </w:rPr>
        <w:footnoteRef/>
      </w:r>
      <w:r>
        <w:t xml:space="preserve"> </w:t>
      </w:r>
      <w:r>
        <w:rPr>
          <w:lang w:val="en-US"/>
        </w:rPr>
        <w:t xml:space="preserve">Indicates corresponding author; email address: </w:t>
      </w:r>
      <w:hyperlink r:id="rId1" w:history="1">
        <w:r w:rsidRPr="00584BAD">
          <w:rPr>
            <w:rStyle w:val="Hyperlink"/>
            <w:lang w:val="en-US"/>
          </w:rPr>
          <w:t>jamie.levine.daniel@nyu.edu</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3EB59" w14:textId="77777777" w:rsidR="00E877AB" w:rsidRDefault="00E877AB"/>
  <w:tbl>
    <w:tblPr>
      <w:tblStyle w:val="aa"/>
      <w:tblpPr w:leftFromText="180" w:rightFromText="180" w:topFromText="180" w:bottomFromText="180" w:vertAnchor="text" w:tblpX="-1020"/>
      <w:tblW w:w="15960" w:type="dxa"/>
      <w:tblBorders>
        <w:top w:val="nil"/>
        <w:left w:val="nil"/>
        <w:bottom w:val="nil"/>
        <w:right w:val="nil"/>
        <w:insideH w:val="nil"/>
        <w:insideV w:val="nil"/>
      </w:tblBorders>
      <w:tblLayout w:type="fixed"/>
      <w:tblLook w:val="0600" w:firstRow="0" w:lastRow="0" w:firstColumn="0" w:lastColumn="0" w:noHBand="1" w:noVBand="1"/>
    </w:tblPr>
    <w:tblGrid>
      <w:gridCol w:w="1560"/>
      <w:gridCol w:w="4260"/>
      <w:gridCol w:w="6180"/>
      <w:gridCol w:w="1140"/>
      <w:gridCol w:w="1155"/>
      <w:gridCol w:w="1665"/>
    </w:tblGrid>
    <w:tr w:rsidR="00E877AB" w14:paraId="3999EB0E" w14:textId="77777777">
      <w:trPr>
        <w:trHeight w:val="225"/>
      </w:trPr>
      <w:tc>
        <w:tcPr>
          <w:tcW w:w="1560"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14:paraId="7868BD06" w14:textId="77777777" w:rsidR="00E877AB" w:rsidRDefault="00E877AB">
          <w:pPr>
            <w:ind w:left="140" w:right="140"/>
            <w:jc w:val="center"/>
            <w:rPr>
              <w:b/>
              <w:bCs/>
              <w:sz w:val="18"/>
              <w:szCs w:val="18"/>
            </w:rPr>
          </w:pPr>
          <w:r>
            <w:rPr>
              <w:b/>
              <w:bCs/>
              <w:sz w:val="18"/>
              <w:szCs w:val="18"/>
            </w:rPr>
            <w:t>EI sections</w:t>
          </w:r>
        </w:p>
      </w:tc>
      <w:tc>
        <w:tcPr>
          <w:tcW w:w="10440"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65288D95" w14:textId="77777777" w:rsidR="00E877AB" w:rsidRDefault="00E877AB">
          <w:pPr>
            <w:ind w:left="140" w:right="140"/>
            <w:jc w:val="center"/>
            <w:rPr>
              <w:b/>
              <w:bCs/>
              <w:sz w:val="18"/>
              <w:szCs w:val="18"/>
            </w:rPr>
          </w:pPr>
          <w:r>
            <w:rPr>
              <w:b/>
              <w:bCs/>
              <w:sz w:val="18"/>
              <w:szCs w:val="18"/>
            </w:rPr>
            <w:t>EI activities</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5FCC7773" w14:textId="77777777" w:rsidR="00E877AB" w:rsidRDefault="00E877AB">
          <w:pPr>
            <w:ind w:left="140" w:right="140"/>
            <w:jc w:val="center"/>
            <w:rPr>
              <w:b/>
              <w:bCs/>
              <w:sz w:val="18"/>
              <w:szCs w:val="18"/>
            </w:rPr>
          </w:pPr>
          <w:r>
            <w:rPr>
              <w:b/>
              <w:bCs/>
              <w:sz w:val="18"/>
              <w:szCs w:val="18"/>
            </w:rPr>
            <w:t>OT</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420F6D50" w14:textId="77777777" w:rsidR="00E877AB" w:rsidRDefault="00E877AB">
          <w:pPr>
            <w:ind w:left="140" w:right="140"/>
            <w:jc w:val="center"/>
            <w:rPr>
              <w:b/>
              <w:bCs/>
              <w:sz w:val="18"/>
              <w:szCs w:val="18"/>
            </w:rPr>
          </w:pPr>
          <w:r>
            <w:rPr>
              <w:b/>
              <w:bCs/>
              <w:sz w:val="18"/>
              <w:szCs w:val="18"/>
            </w:rPr>
            <w:t>TM</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64E17D89" w14:textId="77777777" w:rsidR="00E877AB" w:rsidRDefault="00E877AB">
          <w:pPr>
            <w:ind w:left="140" w:right="140"/>
            <w:jc w:val="center"/>
            <w:rPr>
              <w:b/>
              <w:bCs/>
              <w:sz w:val="18"/>
              <w:szCs w:val="18"/>
            </w:rPr>
          </w:pPr>
          <w:r>
            <w:rPr>
              <w:b/>
              <w:bCs/>
              <w:sz w:val="18"/>
              <w:szCs w:val="18"/>
            </w:rPr>
            <w:t>Embeddedness</w:t>
          </w:r>
        </w:p>
      </w:tc>
    </w:tr>
    <w:tr w:rsidR="00E877AB" w14:paraId="019B9470" w14:textId="77777777">
      <w:trPr>
        <w:trHeight w:val="22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60DB3C58" w14:textId="77777777" w:rsidR="00E877AB" w:rsidRDefault="00E877AB">
          <w:pPr>
            <w:widowControl w:val="0"/>
            <w:pBdr>
              <w:top w:val="nil"/>
              <w:left w:val="nil"/>
              <w:bottom w:val="nil"/>
              <w:right w:val="nil"/>
              <w:between w:val="nil"/>
            </w:pBdr>
            <w:spacing w:line="276" w:lineRule="auto"/>
            <w:rPr>
              <w:b/>
              <w:bCs/>
              <w:sz w:val="18"/>
              <w:szCs w:val="18"/>
            </w:rPr>
          </w:pPr>
        </w:p>
      </w:tc>
      <w:tc>
        <w:tcPr>
          <w:tcW w:w="4260" w:type="dxa"/>
          <w:tcBorders>
            <w:top w:val="single" w:sz="6" w:space="0" w:color="000000"/>
            <w:left w:val="single" w:sz="6" w:space="0" w:color="000000"/>
            <w:bottom w:val="single" w:sz="6" w:space="0" w:color="000000"/>
            <w:right w:val="single" w:sz="6" w:space="0" w:color="000000"/>
          </w:tcBorders>
          <w:tcMar>
            <w:top w:w="0" w:type="dxa"/>
            <w:bottom w:w="0" w:type="dxa"/>
          </w:tcMar>
        </w:tcPr>
        <w:p w14:paraId="55A6E804" w14:textId="77777777" w:rsidR="00E877AB" w:rsidRDefault="00E877AB">
          <w:pPr>
            <w:ind w:left="140" w:right="140"/>
            <w:jc w:val="center"/>
            <w:rPr>
              <w:b/>
              <w:bCs/>
              <w:sz w:val="18"/>
              <w:szCs w:val="18"/>
            </w:rPr>
          </w:pPr>
          <w:r>
            <w:rPr>
              <w:b/>
              <w:bCs/>
              <w:sz w:val="18"/>
              <w:szCs w:val="18"/>
            </w:rPr>
            <w:t>Categories</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7F1FB871" w14:textId="77777777" w:rsidR="00E877AB" w:rsidRDefault="00E877AB">
          <w:pPr>
            <w:ind w:left="140" w:right="140"/>
            <w:jc w:val="center"/>
            <w:rPr>
              <w:b/>
              <w:bCs/>
              <w:sz w:val="18"/>
              <w:szCs w:val="18"/>
            </w:rPr>
          </w:pPr>
          <w:r>
            <w:rPr>
              <w:b/>
              <w:bCs/>
              <w:sz w:val="18"/>
              <w:szCs w:val="18"/>
            </w:rPr>
            <w:t>Sub Categories</w:t>
          </w:r>
        </w:p>
      </w:tc>
      <w:tc>
        <w:tcPr>
          <w:tcW w:w="2295"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7EF3C2D4" w14:textId="77777777" w:rsidR="00E877AB" w:rsidRDefault="00E877AB">
          <w:pPr>
            <w:ind w:left="140" w:right="140"/>
            <w:jc w:val="center"/>
            <w:rPr>
              <w:b/>
              <w:bCs/>
              <w:sz w:val="18"/>
              <w:szCs w:val="18"/>
            </w:rPr>
          </w:pPr>
          <w:r>
            <w:rPr>
              <w:b/>
              <w:bCs/>
              <w:sz w:val="18"/>
              <w:szCs w:val="18"/>
            </w:rPr>
            <w:t>As per core activity</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688641EA" w14:textId="77777777" w:rsidR="00E877AB" w:rsidRDefault="00E877AB">
          <w:pPr>
            <w:ind w:left="140" w:right="140"/>
            <w:jc w:val="center"/>
            <w:rPr>
              <w:b/>
              <w:bCs/>
              <w:sz w:val="18"/>
              <w:szCs w:val="18"/>
            </w:rPr>
          </w:pPr>
          <w:r>
            <w:rPr>
              <w:b/>
              <w:bCs/>
              <w:sz w:val="18"/>
              <w:szCs w:val="18"/>
            </w:rPr>
            <w:t xml:space="preserve"> </w:t>
          </w:r>
        </w:p>
      </w:tc>
    </w:tr>
    <w:tr w:rsidR="00E877AB" w14:paraId="60887BE4" w14:textId="77777777">
      <w:trPr>
        <w:trHeight w:val="225"/>
      </w:trPr>
      <w:tc>
        <w:tcPr>
          <w:tcW w:w="1560"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14:paraId="489A4BC7" w14:textId="77777777" w:rsidR="00E877AB" w:rsidRDefault="00E877AB">
          <w:pPr>
            <w:ind w:left="140" w:right="140"/>
            <w:jc w:val="center"/>
            <w:rPr>
              <w:b/>
              <w:bCs/>
              <w:sz w:val="18"/>
              <w:szCs w:val="18"/>
            </w:rPr>
          </w:pPr>
          <w:r>
            <w:rPr>
              <w:b/>
              <w:bCs/>
              <w:sz w:val="18"/>
              <w:szCs w:val="18"/>
            </w:rPr>
            <w:t>Public</w:t>
          </w:r>
        </w:p>
      </w:tc>
      <w:tc>
        <w:tcPr>
          <w:tcW w:w="4260" w:type="dxa"/>
          <w:tcBorders>
            <w:top w:val="single" w:sz="6" w:space="0" w:color="000000"/>
            <w:left w:val="single" w:sz="6" w:space="0" w:color="000000"/>
            <w:bottom w:val="single" w:sz="6" w:space="0" w:color="000000"/>
            <w:right w:val="single" w:sz="6" w:space="0" w:color="000000"/>
          </w:tcBorders>
          <w:tcMar>
            <w:top w:w="0" w:type="dxa"/>
            <w:bottom w:w="0" w:type="dxa"/>
          </w:tcMar>
        </w:tcPr>
        <w:p w14:paraId="6259E8E2" w14:textId="77777777" w:rsidR="00E877AB" w:rsidRDefault="00E877AB">
          <w:pPr>
            <w:ind w:left="140" w:right="140"/>
            <w:jc w:val="center"/>
            <w:rPr>
              <w:sz w:val="18"/>
              <w:szCs w:val="18"/>
            </w:rPr>
          </w:pPr>
          <w:r>
            <w:rPr>
              <w:sz w:val="18"/>
              <w:szCs w:val="18"/>
            </w:rPr>
            <w:t>Performances domestically and abroad</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2E48185E" w14:textId="77777777" w:rsidR="00E877AB" w:rsidRDefault="00E877AB">
          <w:pPr>
            <w:ind w:left="140" w:right="140"/>
            <w:jc w:val="center"/>
            <w:rPr>
              <w:sz w:val="18"/>
              <w:szCs w:val="18"/>
            </w:rPr>
          </w:pPr>
          <w:r>
            <w:rPr>
              <w:sz w:val="18"/>
              <w:szCs w:val="18"/>
            </w:rPr>
            <w:t>Performances sold at market price</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1EDBA811" w14:textId="77777777" w:rsidR="00E877AB" w:rsidRDefault="00E877AB">
          <w:pPr>
            <w:ind w:left="140" w:right="140"/>
            <w:jc w:val="center"/>
            <w:rPr>
              <w:sz w:val="18"/>
              <w:szCs w:val="18"/>
            </w:rPr>
          </w:pPr>
          <w:r>
            <w:rPr>
              <w:sz w:val="18"/>
              <w:szCs w:val="18"/>
            </w:rPr>
            <w:t>Same</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6BCB4673" w14:textId="77777777" w:rsidR="00E877AB" w:rsidRDefault="00E877AB">
          <w:pPr>
            <w:ind w:left="140" w:right="140"/>
            <w:jc w:val="center"/>
            <w:rPr>
              <w:sz w:val="18"/>
              <w:szCs w:val="18"/>
            </w:rPr>
          </w:pPr>
          <w:r>
            <w:rPr>
              <w:sz w:val="18"/>
              <w:szCs w:val="18"/>
            </w:rPr>
            <w:t>Same</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705AA568" w14:textId="77777777" w:rsidR="00E877AB" w:rsidRDefault="00E877AB">
          <w:pPr>
            <w:ind w:left="140" w:right="140"/>
            <w:jc w:val="center"/>
            <w:rPr>
              <w:sz w:val="18"/>
              <w:szCs w:val="18"/>
            </w:rPr>
          </w:pPr>
          <w:r>
            <w:rPr>
              <w:sz w:val="18"/>
              <w:szCs w:val="18"/>
            </w:rPr>
            <w:t>Embedded</w:t>
          </w:r>
        </w:p>
      </w:tc>
    </w:tr>
    <w:tr w:rsidR="00E877AB" w14:paraId="409E4E22" w14:textId="77777777">
      <w:trPr>
        <w:trHeight w:val="25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6F05D66E" w14:textId="77777777" w:rsidR="00E877AB" w:rsidRDefault="00E877AB">
          <w:pPr>
            <w:widowControl w:val="0"/>
            <w:pBdr>
              <w:top w:val="nil"/>
              <w:left w:val="nil"/>
              <w:bottom w:val="nil"/>
              <w:right w:val="nil"/>
              <w:between w:val="nil"/>
            </w:pBdr>
            <w:spacing w:line="276" w:lineRule="auto"/>
            <w:rPr>
              <w:sz w:val="18"/>
              <w:szCs w:val="18"/>
            </w:rPr>
          </w:pPr>
        </w:p>
      </w:tc>
      <w:tc>
        <w:tcPr>
          <w:tcW w:w="4260" w:type="dxa"/>
          <w:tcBorders>
            <w:top w:val="single" w:sz="6" w:space="0" w:color="000000"/>
            <w:left w:val="single" w:sz="6" w:space="0" w:color="000000"/>
            <w:bottom w:val="single" w:sz="6" w:space="0" w:color="000000"/>
            <w:right w:val="single" w:sz="6" w:space="0" w:color="000000"/>
          </w:tcBorders>
          <w:tcMar>
            <w:top w:w="0" w:type="dxa"/>
            <w:bottom w:w="0" w:type="dxa"/>
          </w:tcMar>
        </w:tcPr>
        <w:p w14:paraId="4E003CC9" w14:textId="77777777" w:rsidR="00E877AB" w:rsidRDefault="00E877AB">
          <w:pPr>
            <w:ind w:left="140" w:right="140"/>
            <w:jc w:val="center"/>
            <w:rPr>
              <w:sz w:val="18"/>
              <w:szCs w:val="18"/>
            </w:rPr>
          </w:pPr>
          <w:r>
            <w:rPr>
              <w:sz w:val="18"/>
              <w:szCs w:val="18"/>
            </w:rPr>
            <w:t>Use of intellectual property rights</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7A28CA8D" w14:textId="77777777" w:rsidR="00E877AB" w:rsidRDefault="00E877AB">
          <w:pPr>
            <w:ind w:left="140" w:right="140"/>
            <w:jc w:val="center"/>
            <w:rPr>
              <w:sz w:val="18"/>
              <w:szCs w:val="18"/>
            </w:rPr>
          </w:pPr>
          <w:r>
            <w:rPr>
              <w:sz w:val="18"/>
              <w:szCs w:val="18"/>
            </w:rPr>
            <w:t xml:space="preserve"> </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09EF73C5" w14:textId="77777777" w:rsidR="00E877AB" w:rsidRDefault="00E877AB">
          <w:pPr>
            <w:ind w:left="140" w:right="140"/>
            <w:jc w:val="center"/>
            <w:rPr>
              <w:sz w:val="18"/>
              <w:szCs w:val="18"/>
            </w:rPr>
          </w:pPr>
          <w:r>
            <w:rPr>
              <w:sz w:val="18"/>
              <w:szCs w:val="18"/>
            </w:rPr>
            <w:t>Same</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4238F973"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1EC6830D" w14:textId="77777777" w:rsidR="00E877AB" w:rsidRDefault="00E877AB">
          <w:pPr>
            <w:ind w:left="140" w:right="140"/>
            <w:jc w:val="center"/>
            <w:rPr>
              <w:sz w:val="18"/>
              <w:szCs w:val="18"/>
            </w:rPr>
          </w:pPr>
          <w:r>
            <w:rPr>
              <w:sz w:val="18"/>
              <w:szCs w:val="18"/>
            </w:rPr>
            <w:t>Integrated</w:t>
          </w:r>
        </w:p>
      </w:tc>
    </w:tr>
    <w:tr w:rsidR="00E877AB" w14:paraId="726DE1F8" w14:textId="77777777">
      <w:trPr>
        <w:trHeight w:val="22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142841F9" w14:textId="77777777" w:rsidR="00E877AB" w:rsidRDefault="00E877AB">
          <w:pPr>
            <w:widowControl w:val="0"/>
            <w:pBdr>
              <w:top w:val="nil"/>
              <w:left w:val="nil"/>
              <w:bottom w:val="nil"/>
              <w:right w:val="nil"/>
              <w:between w:val="nil"/>
            </w:pBdr>
            <w:spacing w:line="276" w:lineRule="auto"/>
            <w:rPr>
              <w:sz w:val="18"/>
              <w:szCs w:val="18"/>
            </w:rPr>
          </w:pPr>
        </w:p>
      </w:tc>
      <w:tc>
        <w:tcPr>
          <w:tcW w:w="4260"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14:paraId="6777BC34" w14:textId="77777777" w:rsidR="00E877AB" w:rsidRDefault="00E877AB">
          <w:pPr>
            <w:ind w:left="140" w:right="140"/>
            <w:jc w:val="center"/>
            <w:rPr>
              <w:sz w:val="18"/>
              <w:szCs w:val="18"/>
            </w:rPr>
          </w:pPr>
          <w:r>
            <w:rPr>
              <w:sz w:val="18"/>
              <w:szCs w:val="18"/>
            </w:rPr>
            <w:t>Rental and sale of tangibles</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777C136B" w14:textId="77777777" w:rsidR="00E877AB" w:rsidRDefault="00E877AB">
          <w:pPr>
            <w:ind w:left="140" w:right="140"/>
            <w:jc w:val="center"/>
            <w:rPr>
              <w:sz w:val="18"/>
              <w:szCs w:val="18"/>
            </w:rPr>
          </w:pPr>
          <w:r>
            <w:rPr>
              <w:sz w:val="18"/>
              <w:szCs w:val="18"/>
            </w:rPr>
            <w:t>Wardrobe services</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6E01EBBA" w14:textId="77777777" w:rsidR="00E877AB" w:rsidRDefault="00E877AB">
          <w:pPr>
            <w:ind w:left="140" w:right="140"/>
            <w:jc w:val="center"/>
            <w:rPr>
              <w:sz w:val="18"/>
              <w:szCs w:val="18"/>
            </w:rPr>
          </w:pPr>
          <w:r>
            <w:rPr>
              <w:sz w:val="18"/>
              <w:szCs w:val="18"/>
            </w:rPr>
            <w:t>Different</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5ABD2226" w14:textId="77777777" w:rsidR="00E877AB" w:rsidRDefault="00E877AB">
          <w:pPr>
            <w:ind w:left="140" w:right="140"/>
            <w:jc w:val="center"/>
            <w:rPr>
              <w:sz w:val="18"/>
              <w:szCs w:val="18"/>
            </w:rPr>
          </w:pPr>
          <w:r>
            <w:rPr>
              <w:sz w:val="18"/>
              <w:szCs w:val="18"/>
            </w:rPr>
            <w:t>Same</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24D3F515" w14:textId="77777777" w:rsidR="00E877AB" w:rsidRDefault="00E877AB">
          <w:pPr>
            <w:ind w:left="140" w:right="140"/>
            <w:jc w:val="center"/>
            <w:rPr>
              <w:sz w:val="18"/>
              <w:szCs w:val="18"/>
            </w:rPr>
          </w:pPr>
          <w:r>
            <w:rPr>
              <w:sz w:val="18"/>
              <w:szCs w:val="18"/>
            </w:rPr>
            <w:t>Integrated</w:t>
          </w:r>
        </w:p>
      </w:tc>
    </w:tr>
    <w:tr w:rsidR="00E877AB" w14:paraId="1C366DD3" w14:textId="77777777">
      <w:trPr>
        <w:trHeight w:val="22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7C82E1E6" w14:textId="77777777" w:rsidR="00E877AB" w:rsidRDefault="00E877AB">
          <w:pPr>
            <w:widowControl w:val="0"/>
            <w:pBdr>
              <w:top w:val="nil"/>
              <w:left w:val="nil"/>
              <w:bottom w:val="nil"/>
              <w:right w:val="nil"/>
              <w:between w:val="nil"/>
            </w:pBdr>
            <w:spacing w:line="276" w:lineRule="auto"/>
            <w:rPr>
              <w:sz w:val="18"/>
              <w:szCs w:val="18"/>
            </w:rPr>
          </w:pPr>
        </w:p>
      </w:tc>
      <w:tc>
        <w:tcPr>
          <w:tcW w:w="42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442129AB" w14:textId="77777777" w:rsidR="00E877AB" w:rsidRDefault="00E877AB">
          <w:pPr>
            <w:widowControl w:val="0"/>
            <w:pBdr>
              <w:top w:val="nil"/>
              <w:left w:val="nil"/>
              <w:bottom w:val="nil"/>
              <w:right w:val="nil"/>
              <w:between w:val="nil"/>
            </w:pBdr>
            <w:spacing w:line="276" w:lineRule="auto"/>
            <w:rPr>
              <w:sz w:val="18"/>
              <w:szCs w:val="18"/>
            </w:rPr>
          </w:pP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47485B5D" w14:textId="77777777" w:rsidR="00E877AB" w:rsidRDefault="00E877AB">
          <w:pPr>
            <w:ind w:left="140" w:right="140"/>
            <w:jc w:val="center"/>
            <w:rPr>
              <w:sz w:val="18"/>
              <w:szCs w:val="18"/>
            </w:rPr>
          </w:pPr>
          <w:r>
            <w:rPr>
              <w:sz w:val="18"/>
              <w:szCs w:val="18"/>
            </w:rPr>
            <w:t>Publication items sold in connection with the performance’s audience</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3DE5DB3F" w14:textId="77777777" w:rsidR="00E877AB" w:rsidRDefault="00E877AB">
          <w:pPr>
            <w:ind w:left="140" w:right="140"/>
            <w:jc w:val="center"/>
            <w:rPr>
              <w:sz w:val="18"/>
              <w:szCs w:val="18"/>
            </w:rPr>
          </w:pPr>
          <w:r>
            <w:rPr>
              <w:sz w:val="18"/>
              <w:szCs w:val="18"/>
            </w:rPr>
            <w:t>Different</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3618DF45" w14:textId="77777777" w:rsidR="00E877AB" w:rsidRDefault="00E877AB">
          <w:pPr>
            <w:ind w:left="140" w:right="140"/>
            <w:jc w:val="center"/>
            <w:rPr>
              <w:sz w:val="18"/>
              <w:szCs w:val="18"/>
            </w:rPr>
          </w:pPr>
          <w:r>
            <w:rPr>
              <w:sz w:val="18"/>
              <w:szCs w:val="18"/>
            </w:rPr>
            <w:t>Same</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733A3CAB" w14:textId="77777777" w:rsidR="00E877AB" w:rsidRDefault="00E877AB">
          <w:pPr>
            <w:ind w:left="140" w:right="140"/>
            <w:jc w:val="center"/>
            <w:rPr>
              <w:sz w:val="18"/>
              <w:szCs w:val="18"/>
            </w:rPr>
          </w:pPr>
          <w:r>
            <w:rPr>
              <w:sz w:val="18"/>
              <w:szCs w:val="18"/>
            </w:rPr>
            <w:t>Integrated</w:t>
          </w:r>
        </w:p>
      </w:tc>
    </w:tr>
    <w:tr w:rsidR="00E877AB" w14:paraId="4FE49E91" w14:textId="77777777">
      <w:trPr>
        <w:trHeight w:val="22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6F1FFB4F" w14:textId="77777777" w:rsidR="00E877AB" w:rsidRDefault="00E877AB">
          <w:pPr>
            <w:widowControl w:val="0"/>
            <w:pBdr>
              <w:top w:val="nil"/>
              <w:left w:val="nil"/>
              <w:bottom w:val="nil"/>
              <w:right w:val="nil"/>
              <w:between w:val="nil"/>
            </w:pBdr>
            <w:spacing w:line="276" w:lineRule="auto"/>
            <w:rPr>
              <w:sz w:val="18"/>
              <w:szCs w:val="18"/>
            </w:rPr>
          </w:pPr>
        </w:p>
      </w:tc>
      <w:tc>
        <w:tcPr>
          <w:tcW w:w="42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38F906BA" w14:textId="77777777" w:rsidR="00E877AB" w:rsidRDefault="00E877AB">
          <w:pPr>
            <w:widowControl w:val="0"/>
            <w:pBdr>
              <w:top w:val="nil"/>
              <w:left w:val="nil"/>
              <w:bottom w:val="nil"/>
              <w:right w:val="nil"/>
              <w:between w:val="nil"/>
            </w:pBdr>
            <w:spacing w:line="276" w:lineRule="auto"/>
            <w:rPr>
              <w:sz w:val="18"/>
              <w:szCs w:val="18"/>
            </w:rPr>
          </w:pP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4483DF51" w14:textId="77777777" w:rsidR="00E877AB" w:rsidRDefault="00E877AB">
          <w:pPr>
            <w:ind w:left="140" w:right="140"/>
            <w:jc w:val="center"/>
            <w:rPr>
              <w:sz w:val="18"/>
              <w:szCs w:val="18"/>
            </w:rPr>
          </w:pPr>
          <w:r>
            <w:rPr>
              <w:sz w:val="18"/>
              <w:szCs w:val="18"/>
            </w:rPr>
            <w:t>Catering offered in connection with the performance’s audience</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121B06C9" w14:textId="77777777" w:rsidR="00E877AB" w:rsidRDefault="00E877AB">
          <w:pPr>
            <w:ind w:left="140" w:right="140"/>
            <w:jc w:val="center"/>
            <w:rPr>
              <w:sz w:val="18"/>
              <w:szCs w:val="18"/>
            </w:rPr>
          </w:pPr>
          <w:r>
            <w:rPr>
              <w:sz w:val="18"/>
              <w:szCs w:val="18"/>
            </w:rPr>
            <w:t>Different</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31E01720" w14:textId="77777777" w:rsidR="00E877AB" w:rsidRDefault="00E877AB">
          <w:pPr>
            <w:ind w:left="140" w:right="140"/>
            <w:jc w:val="center"/>
            <w:rPr>
              <w:sz w:val="18"/>
              <w:szCs w:val="18"/>
            </w:rPr>
          </w:pPr>
          <w:r>
            <w:rPr>
              <w:sz w:val="18"/>
              <w:szCs w:val="18"/>
            </w:rPr>
            <w:t>Same</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7CE3F2C0" w14:textId="77777777" w:rsidR="00E877AB" w:rsidRDefault="00E877AB">
          <w:pPr>
            <w:ind w:left="140" w:right="140"/>
            <w:jc w:val="center"/>
            <w:rPr>
              <w:sz w:val="18"/>
              <w:szCs w:val="18"/>
            </w:rPr>
          </w:pPr>
          <w:r>
            <w:rPr>
              <w:sz w:val="18"/>
              <w:szCs w:val="18"/>
            </w:rPr>
            <w:t>Integrated</w:t>
          </w:r>
        </w:p>
      </w:tc>
    </w:tr>
    <w:tr w:rsidR="00E877AB" w14:paraId="533AA594" w14:textId="77777777">
      <w:trPr>
        <w:trHeight w:val="22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10A41365" w14:textId="77777777" w:rsidR="00E877AB" w:rsidRDefault="00E877AB">
          <w:pPr>
            <w:widowControl w:val="0"/>
            <w:pBdr>
              <w:top w:val="nil"/>
              <w:left w:val="nil"/>
              <w:bottom w:val="nil"/>
              <w:right w:val="nil"/>
              <w:between w:val="nil"/>
            </w:pBdr>
            <w:spacing w:line="276" w:lineRule="auto"/>
            <w:rPr>
              <w:sz w:val="18"/>
              <w:szCs w:val="18"/>
            </w:rPr>
          </w:pPr>
        </w:p>
      </w:tc>
      <w:tc>
        <w:tcPr>
          <w:tcW w:w="4260"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14:paraId="0188C0B1" w14:textId="77777777" w:rsidR="00E877AB" w:rsidRDefault="00E877AB">
          <w:pPr>
            <w:ind w:left="140" w:right="140"/>
            <w:jc w:val="center"/>
            <w:rPr>
              <w:sz w:val="18"/>
              <w:szCs w:val="18"/>
            </w:rPr>
          </w:pPr>
          <w:r>
            <w:rPr>
              <w:sz w:val="18"/>
              <w:szCs w:val="18"/>
            </w:rPr>
            <w:t>Administrative operations</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76550636" w14:textId="77777777" w:rsidR="00E877AB" w:rsidRDefault="00E877AB">
          <w:pPr>
            <w:ind w:left="140" w:right="140"/>
            <w:jc w:val="center"/>
            <w:rPr>
              <w:sz w:val="18"/>
              <w:szCs w:val="18"/>
            </w:rPr>
          </w:pPr>
          <w:r>
            <w:rPr>
              <w:sz w:val="18"/>
              <w:szCs w:val="18"/>
            </w:rPr>
            <w:t>Passed-on costs</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36DC4380" w14:textId="77777777" w:rsidR="00E877AB" w:rsidRDefault="00E877AB">
          <w:pPr>
            <w:ind w:left="140" w:right="140"/>
            <w:jc w:val="center"/>
            <w:rPr>
              <w:sz w:val="18"/>
              <w:szCs w:val="18"/>
            </w:rPr>
          </w:pPr>
          <w:r>
            <w:rPr>
              <w:sz w:val="18"/>
              <w:szCs w:val="18"/>
            </w:rPr>
            <w:t>Same</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3B164A82" w14:textId="77777777" w:rsidR="00E877AB" w:rsidRDefault="00E877AB">
          <w:pPr>
            <w:ind w:left="140" w:right="140"/>
            <w:jc w:val="center"/>
            <w:rPr>
              <w:sz w:val="18"/>
              <w:szCs w:val="18"/>
            </w:rPr>
          </w:pPr>
          <w:r>
            <w:rPr>
              <w:sz w:val="18"/>
              <w:szCs w:val="18"/>
            </w:rPr>
            <w:t>Same</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6135423A" w14:textId="77777777" w:rsidR="00E877AB" w:rsidRDefault="00E877AB">
          <w:pPr>
            <w:ind w:left="140" w:right="140"/>
            <w:jc w:val="center"/>
            <w:rPr>
              <w:sz w:val="18"/>
              <w:szCs w:val="18"/>
            </w:rPr>
          </w:pPr>
          <w:r>
            <w:rPr>
              <w:sz w:val="18"/>
              <w:szCs w:val="18"/>
            </w:rPr>
            <w:t>Embedded</w:t>
          </w:r>
        </w:p>
      </w:tc>
    </w:tr>
    <w:tr w:rsidR="00E877AB" w14:paraId="58F37DFE" w14:textId="77777777">
      <w:trPr>
        <w:trHeight w:val="22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0BEEF7EF" w14:textId="77777777" w:rsidR="00E877AB" w:rsidRDefault="00E877AB">
          <w:pPr>
            <w:widowControl w:val="0"/>
            <w:pBdr>
              <w:top w:val="nil"/>
              <w:left w:val="nil"/>
              <w:bottom w:val="nil"/>
              <w:right w:val="nil"/>
              <w:between w:val="nil"/>
            </w:pBdr>
            <w:spacing w:line="276" w:lineRule="auto"/>
            <w:rPr>
              <w:sz w:val="18"/>
              <w:szCs w:val="18"/>
            </w:rPr>
          </w:pPr>
        </w:p>
      </w:tc>
      <w:tc>
        <w:tcPr>
          <w:tcW w:w="42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69AA4524" w14:textId="77777777" w:rsidR="00E877AB" w:rsidRDefault="00E877AB">
          <w:pPr>
            <w:widowControl w:val="0"/>
            <w:pBdr>
              <w:top w:val="nil"/>
              <w:left w:val="nil"/>
              <w:bottom w:val="nil"/>
              <w:right w:val="nil"/>
              <w:between w:val="nil"/>
            </w:pBdr>
            <w:spacing w:line="276" w:lineRule="auto"/>
            <w:rPr>
              <w:sz w:val="18"/>
              <w:szCs w:val="18"/>
            </w:rPr>
          </w:pP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442B748F" w14:textId="77777777" w:rsidR="00E877AB" w:rsidRDefault="00E877AB">
          <w:pPr>
            <w:ind w:left="140" w:right="140"/>
            <w:jc w:val="center"/>
            <w:rPr>
              <w:sz w:val="18"/>
              <w:szCs w:val="18"/>
            </w:rPr>
          </w:pPr>
          <w:r>
            <w:rPr>
              <w:sz w:val="18"/>
              <w:szCs w:val="18"/>
            </w:rPr>
            <w:t>Charged costs</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52235CCD" w14:textId="77777777" w:rsidR="00E877AB" w:rsidRDefault="00E877AB">
          <w:pPr>
            <w:ind w:left="140" w:right="140"/>
            <w:jc w:val="center"/>
            <w:rPr>
              <w:sz w:val="18"/>
              <w:szCs w:val="18"/>
            </w:rPr>
          </w:pPr>
          <w:r>
            <w:rPr>
              <w:sz w:val="18"/>
              <w:szCs w:val="18"/>
            </w:rPr>
            <w:t>Same</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31AC0FEC"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30EB9658" w14:textId="77777777" w:rsidR="00E877AB" w:rsidRDefault="00E877AB">
          <w:pPr>
            <w:ind w:left="140" w:right="140"/>
            <w:jc w:val="center"/>
            <w:rPr>
              <w:sz w:val="18"/>
              <w:szCs w:val="18"/>
            </w:rPr>
          </w:pPr>
          <w:r>
            <w:rPr>
              <w:sz w:val="18"/>
              <w:szCs w:val="18"/>
            </w:rPr>
            <w:t>Integrated</w:t>
          </w:r>
        </w:p>
      </w:tc>
    </w:tr>
    <w:tr w:rsidR="00E877AB" w14:paraId="724DB575" w14:textId="77777777">
      <w:trPr>
        <w:trHeight w:val="225"/>
      </w:trPr>
      <w:tc>
        <w:tcPr>
          <w:tcW w:w="1560" w:type="dxa"/>
          <w:tcBorders>
            <w:top w:val="single" w:sz="6" w:space="0" w:color="000000"/>
            <w:left w:val="single" w:sz="6" w:space="0" w:color="000000"/>
            <w:bottom w:val="single" w:sz="6" w:space="0" w:color="000000"/>
            <w:right w:val="single" w:sz="6" w:space="0" w:color="000000"/>
          </w:tcBorders>
          <w:tcMar>
            <w:top w:w="0" w:type="dxa"/>
            <w:bottom w:w="0" w:type="dxa"/>
          </w:tcMar>
        </w:tcPr>
        <w:p w14:paraId="103552D1" w14:textId="77777777" w:rsidR="00E877AB" w:rsidRDefault="00E877AB">
          <w:pPr>
            <w:ind w:left="140" w:right="140"/>
            <w:jc w:val="center"/>
            <w:rPr>
              <w:b/>
              <w:bCs/>
              <w:sz w:val="18"/>
              <w:szCs w:val="18"/>
            </w:rPr>
          </w:pPr>
          <w:r>
            <w:rPr>
              <w:b/>
              <w:bCs/>
              <w:sz w:val="18"/>
              <w:szCs w:val="18"/>
            </w:rPr>
            <w:t>Coproduction</w:t>
          </w:r>
        </w:p>
      </w:tc>
      <w:tc>
        <w:tcPr>
          <w:tcW w:w="4260" w:type="dxa"/>
          <w:tcBorders>
            <w:top w:val="single" w:sz="6" w:space="0" w:color="000000"/>
            <w:left w:val="single" w:sz="6" w:space="0" w:color="000000"/>
            <w:bottom w:val="single" w:sz="6" w:space="0" w:color="000000"/>
            <w:right w:val="single" w:sz="6" w:space="0" w:color="000000"/>
          </w:tcBorders>
          <w:tcMar>
            <w:top w:w="0" w:type="dxa"/>
            <w:bottom w:w="0" w:type="dxa"/>
          </w:tcMar>
        </w:tcPr>
        <w:p w14:paraId="68B6D1B9" w14:textId="77777777" w:rsidR="00E877AB" w:rsidRDefault="00E877AB">
          <w:pPr>
            <w:ind w:left="140" w:right="140"/>
            <w:jc w:val="center"/>
            <w:rPr>
              <w:sz w:val="18"/>
              <w:szCs w:val="18"/>
            </w:rPr>
          </w:pPr>
          <w:r>
            <w:rPr>
              <w:sz w:val="18"/>
              <w:szCs w:val="18"/>
            </w:rPr>
            <w:t>Fees from co-producers</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48989015" w14:textId="77777777" w:rsidR="00E877AB" w:rsidRDefault="00E877AB">
          <w:pPr>
            <w:ind w:left="140" w:right="140"/>
            <w:jc w:val="center"/>
            <w:rPr>
              <w:sz w:val="18"/>
              <w:szCs w:val="18"/>
            </w:rPr>
          </w:pPr>
          <w:r>
            <w:rPr>
              <w:sz w:val="18"/>
              <w:szCs w:val="18"/>
            </w:rPr>
            <w:t xml:space="preserve"> </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1FDC425C" w14:textId="77777777" w:rsidR="00E877AB" w:rsidRDefault="00E877AB">
          <w:pPr>
            <w:ind w:left="140" w:right="140"/>
            <w:jc w:val="center"/>
            <w:rPr>
              <w:sz w:val="18"/>
              <w:szCs w:val="18"/>
            </w:rPr>
          </w:pPr>
          <w:r>
            <w:rPr>
              <w:sz w:val="18"/>
              <w:szCs w:val="18"/>
            </w:rPr>
            <w:t>Same</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5FEA76E5"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40E0273A" w14:textId="77777777" w:rsidR="00E877AB" w:rsidRDefault="00E877AB">
          <w:pPr>
            <w:ind w:left="140" w:right="140"/>
            <w:jc w:val="center"/>
            <w:rPr>
              <w:sz w:val="18"/>
              <w:szCs w:val="18"/>
            </w:rPr>
          </w:pPr>
          <w:r>
            <w:rPr>
              <w:sz w:val="18"/>
              <w:szCs w:val="18"/>
            </w:rPr>
            <w:t>Integrated</w:t>
          </w:r>
        </w:p>
      </w:tc>
    </w:tr>
    <w:tr w:rsidR="00E877AB" w14:paraId="3894F2FB" w14:textId="77777777">
      <w:trPr>
        <w:trHeight w:val="225"/>
      </w:trPr>
      <w:tc>
        <w:tcPr>
          <w:tcW w:w="1560"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14:paraId="2A373E18" w14:textId="77777777" w:rsidR="00E877AB" w:rsidRDefault="00E877AB">
          <w:pPr>
            <w:ind w:left="140" w:right="140"/>
            <w:jc w:val="center"/>
            <w:rPr>
              <w:b/>
              <w:bCs/>
              <w:sz w:val="18"/>
              <w:szCs w:val="18"/>
            </w:rPr>
          </w:pPr>
          <w:r>
            <w:rPr>
              <w:b/>
              <w:bCs/>
              <w:sz w:val="18"/>
              <w:szCs w:val="18"/>
            </w:rPr>
            <w:t>Other</w:t>
          </w:r>
        </w:p>
      </w:tc>
      <w:tc>
        <w:tcPr>
          <w:tcW w:w="4260" w:type="dxa"/>
          <w:tcBorders>
            <w:top w:val="single" w:sz="6" w:space="0" w:color="000000"/>
            <w:left w:val="single" w:sz="6" w:space="0" w:color="000000"/>
            <w:bottom w:val="single" w:sz="6" w:space="0" w:color="000000"/>
            <w:right w:val="single" w:sz="6" w:space="0" w:color="000000"/>
          </w:tcBorders>
          <w:tcMar>
            <w:top w:w="0" w:type="dxa"/>
            <w:bottom w:w="0" w:type="dxa"/>
          </w:tcMar>
        </w:tcPr>
        <w:p w14:paraId="2455EA79" w14:textId="77777777" w:rsidR="00E877AB" w:rsidRDefault="00E877AB">
          <w:pPr>
            <w:ind w:left="140" w:right="140"/>
            <w:jc w:val="center"/>
            <w:rPr>
              <w:sz w:val="18"/>
              <w:szCs w:val="18"/>
            </w:rPr>
          </w:pPr>
          <w:r>
            <w:rPr>
              <w:sz w:val="18"/>
              <w:szCs w:val="18"/>
            </w:rPr>
            <w:t>Use of intellectual property rights</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0F10EFF0" w14:textId="77777777" w:rsidR="00E877AB" w:rsidRDefault="00E877AB">
          <w:pPr>
            <w:ind w:left="140" w:right="140"/>
            <w:jc w:val="center"/>
            <w:rPr>
              <w:sz w:val="18"/>
              <w:szCs w:val="18"/>
            </w:rPr>
          </w:pPr>
          <w:r>
            <w:rPr>
              <w:sz w:val="18"/>
              <w:szCs w:val="18"/>
            </w:rPr>
            <w:t xml:space="preserve"> </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17D184B6" w14:textId="77777777" w:rsidR="00E877AB" w:rsidRDefault="00E877AB">
          <w:pPr>
            <w:ind w:left="140" w:right="140"/>
            <w:jc w:val="center"/>
            <w:rPr>
              <w:sz w:val="18"/>
              <w:szCs w:val="18"/>
            </w:rPr>
          </w:pPr>
          <w:r>
            <w:rPr>
              <w:sz w:val="18"/>
              <w:szCs w:val="18"/>
            </w:rPr>
            <w:t>Same</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5BDCE846"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44C79B13" w14:textId="77777777" w:rsidR="00E877AB" w:rsidRDefault="00E877AB">
          <w:pPr>
            <w:ind w:left="140" w:right="140"/>
            <w:jc w:val="center"/>
            <w:rPr>
              <w:sz w:val="18"/>
              <w:szCs w:val="18"/>
            </w:rPr>
          </w:pPr>
          <w:r>
            <w:rPr>
              <w:sz w:val="18"/>
              <w:szCs w:val="18"/>
            </w:rPr>
            <w:t>Integrated</w:t>
          </w:r>
        </w:p>
      </w:tc>
    </w:tr>
    <w:tr w:rsidR="00E877AB" w14:paraId="06EF3259" w14:textId="77777777">
      <w:trPr>
        <w:trHeight w:val="22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453A612C" w14:textId="77777777" w:rsidR="00E877AB" w:rsidRDefault="00E877AB">
          <w:pPr>
            <w:widowControl w:val="0"/>
            <w:pBdr>
              <w:top w:val="nil"/>
              <w:left w:val="nil"/>
              <w:bottom w:val="nil"/>
              <w:right w:val="nil"/>
              <w:between w:val="nil"/>
            </w:pBdr>
            <w:spacing w:line="276" w:lineRule="auto"/>
            <w:rPr>
              <w:sz w:val="18"/>
              <w:szCs w:val="18"/>
            </w:rPr>
          </w:pPr>
        </w:p>
      </w:tc>
      <w:tc>
        <w:tcPr>
          <w:tcW w:w="4260" w:type="dxa"/>
          <w:tcBorders>
            <w:top w:val="single" w:sz="6" w:space="0" w:color="000000"/>
            <w:left w:val="single" w:sz="6" w:space="0" w:color="000000"/>
            <w:bottom w:val="single" w:sz="6" w:space="0" w:color="000000"/>
            <w:right w:val="single" w:sz="6" w:space="0" w:color="000000"/>
          </w:tcBorders>
          <w:tcMar>
            <w:top w:w="0" w:type="dxa"/>
            <w:bottom w:w="0" w:type="dxa"/>
          </w:tcMar>
        </w:tcPr>
        <w:p w14:paraId="6BAEB497" w14:textId="77777777" w:rsidR="00E877AB" w:rsidRDefault="00E877AB">
          <w:pPr>
            <w:ind w:left="140" w:right="140"/>
            <w:jc w:val="center"/>
            <w:rPr>
              <w:sz w:val="18"/>
              <w:szCs w:val="18"/>
            </w:rPr>
          </w:pPr>
          <w:r>
            <w:rPr>
              <w:sz w:val="18"/>
              <w:szCs w:val="18"/>
            </w:rPr>
            <w:t>Art commissions</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2852FC5E" w14:textId="77777777" w:rsidR="00E877AB" w:rsidRDefault="00E877AB">
          <w:pPr>
            <w:ind w:left="140" w:right="140"/>
            <w:jc w:val="center"/>
            <w:rPr>
              <w:sz w:val="18"/>
              <w:szCs w:val="18"/>
            </w:rPr>
          </w:pPr>
          <w:r>
            <w:rPr>
              <w:sz w:val="18"/>
              <w:szCs w:val="18"/>
            </w:rPr>
            <w:t xml:space="preserve"> </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12A87133" w14:textId="77777777" w:rsidR="00E877AB" w:rsidRDefault="00E877AB">
          <w:pPr>
            <w:ind w:left="140" w:right="140"/>
            <w:jc w:val="center"/>
            <w:rPr>
              <w:sz w:val="18"/>
              <w:szCs w:val="18"/>
            </w:rPr>
          </w:pPr>
          <w:r>
            <w:rPr>
              <w:sz w:val="18"/>
              <w:szCs w:val="18"/>
            </w:rPr>
            <w:t>Same</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630B7D34"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4ACF1F43" w14:textId="77777777" w:rsidR="00E877AB" w:rsidRDefault="00E877AB">
          <w:pPr>
            <w:ind w:left="140" w:right="140"/>
            <w:jc w:val="center"/>
            <w:rPr>
              <w:sz w:val="18"/>
              <w:szCs w:val="18"/>
            </w:rPr>
          </w:pPr>
          <w:r>
            <w:rPr>
              <w:sz w:val="18"/>
              <w:szCs w:val="18"/>
            </w:rPr>
            <w:t>Integrated</w:t>
          </w:r>
        </w:p>
      </w:tc>
    </w:tr>
    <w:tr w:rsidR="00E877AB" w14:paraId="5DC53BB8" w14:textId="77777777">
      <w:trPr>
        <w:trHeight w:val="22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216B2E1E" w14:textId="77777777" w:rsidR="00E877AB" w:rsidRDefault="00E877AB">
          <w:pPr>
            <w:widowControl w:val="0"/>
            <w:pBdr>
              <w:top w:val="nil"/>
              <w:left w:val="nil"/>
              <w:bottom w:val="nil"/>
              <w:right w:val="nil"/>
              <w:between w:val="nil"/>
            </w:pBdr>
            <w:spacing w:line="276" w:lineRule="auto"/>
            <w:rPr>
              <w:sz w:val="18"/>
              <w:szCs w:val="18"/>
            </w:rPr>
          </w:pPr>
        </w:p>
      </w:tc>
      <w:tc>
        <w:tcPr>
          <w:tcW w:w="4260" w:type="dxa"/>
          <w:tcBorders>
            <w:top w:val="single" w:sz="6" w:space="0" w:color="000000"/>
            <w:left w:val="single" w:sz="6" w:space="0" w:color="000000"/>
            <w:bottom w:val="single" w:sz="6" w:space="0" w:color="000000"/>
            <w:right w:val="single" w:sz="6" w:space="0" w:color="000000"/>
          </w:tcBorders>
          <w:tcMar>
            <w:top w:w="0" w:type="dxa"/>
            <w:bottom w:w="0" w:type="dxa"/>
          </w:tcMar>
        </w:tcPr>
        <w:p w14:paraId="27D4E7B4" w14:textId="77777777" w:rsidR="00E877AB" w:rsidRDefault="00E877AB">
          <w:pPr>
            <w:ind w:left="140" w:right="140"/>
            <w:jc w:val="center"/>
            <w:rPr>
              <w:sz w:val="18"/>
              <w:szCs w:val="18"/>
            </w:rPr>
          </w:pPr>
          <w:r>
            <w:rPr>
              <w:sz w:val="18"/>
              <w:szCs w:val="18"/>
            </w:rPr>
            <w:t>Other\unspecified</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2DC99DB6" w14:textId="77777777" w:rsidR="00E877AB" w:rsidRDefault="00E877AB">
          <w:pPr>
            <w:ind w:left="140" w:right="140"/>
            <w:jc w:val="center"/>
            <w:rPr>
              <w:sz w:val="18"/>
              <w:szCs w:val="18"/>
            </w:rPr>
          </w:pPr>
          <w:r>
            <w:rPr>
              <w:sz w:val="18"/>
              <w:szCs w:val="18"/>
            </w:rPr>
            <w:t xml:space="preserve"> </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2AB4273C" w14:textId="77777777" w:rsidR="00E877AB" w:rsidRDefault="00E877AB">
          <w:pPr>
            <w:ind w:left="140" w:right="140"/>
            <w:jc w:val="center"/>
            <w:rPr>
              <w:sz w:val="18"/>
              <w:szCs w:val="18"/>
            </w:rPr>
          </w:pPr>
          <w:r>
            <w:rPr>
              <w:sz w:val="18"/>
              <w:szCs w:val="18"/>
            </w:rPr>
            <w:t>Different</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5C51F3A6"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4EFD12C0" w14:textId="77777777" w:rsidR="00E877AB" w:rsidRDefault="00E877AB">
          <w:pPr>
            <w:ind w:left="140" w:right="140"/>
            <w:jc w:val="center"/>
            <w:rPr>
              <w:sz w:val="18"/>
              <w:szCs w:val="18"/>
            </w:rPr>
          </w:pPr>
          <w:r>
            <w:rPr>
              <w:sz w:val="18"/>
              <w:szCs w:val="18"/>
            </w:rPr>
            <w:t>External</w:t>
          </w:r>
        </w:p>
      </w:tc>
    </w:tr>
    <w:tr w:rsidR="00E877AB" w14:paraId="58E75E7F" w14:textId="77777777">
      <w:trPr>
        <w:trHeight w:val="22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7290F83A" w14:textId="77777777" w:rsidR="00E877AB" w:rsidRDefault="00E877AB">
          <w:pPr>
            <w:widowControl w:val="0"/>
            <w:pBdr>
              <w:top w:val="nil"/>
              <w:left w:val="nil"/>
              <w:bottom w:val="nil"/>
              <w:right w:val="nil"/>
              <w:between w:val="nil"/>
            </w:pBdr>
            <w:spacing w:line="276" w:lineRule="auto"/>
            <w:rPr>
              <w:sz w:val="18"/>
              <w:szCs w:val="18"/>
            </w:rPr>
          </w:pPr>
        </w:p>
      </w:tc>
      <w:tc>
        <w:tcPr>
          <w:tcW w:w="4260"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14:paraId="3E8FC8F9" w14:textId="77777777" w:rsidR="00E877AB" w:rsidRDefault="00E877AB">
          <w:pPr>
            <w:ind w:left="140" w:right="140"/>
            <w:jc w:val="center"/>
            <w:rPr>
              <w:sz w:val="18"/>
              <w:szCs w:val="18"/>
            </w:rPr>
          </w:pPr>
          <w:r>
            <w:rPr>
              <w:sz w:val="18"/>
              <w:szCs w:val="18"/>
            </w:rPr>
            <w:t>Workshops, educational activities, and presentations</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2D1DD4B2" w14:textId="77777777" w:rsidR="00E877AB" w:rsidRDefault="00E877AB">
          <w:pPr>
            <w:ind w:left="140" w:right="140"/>
            <w:jc w:val="center"/>
            <w:rPr>
              <w:sz w:val="18"/>
              <w:szCs w:val="18"/>
            </w:rPr>
          </w:pPr>
          <w:r>
            <w:rPr>
              <w:sz w:val="18"/>
              <w:szCs w:val="18"/>
            </w:rPr>
            <w:t>In connection with the performances' audience using core activity OT</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6C757B24" w14:textId="77777777" w:rsidR="00E877AB" w:rsidRDefault="00E877AB">
          <w:pPr>
            <w:ind w:left="140" w:right="140"/>
            <w:jc w:val="center"/>
            <w:rPr>
              <w:sz w:val="18"/>
              <w:szCs w:val="18"/>
            </w:rPr>
          </w:pPr>
          <w:r>
            <w:rPr>
              <w:sz w:val="18"/>
              <w:szCs w:val="18"/>
            </w:rPr>
            <w:t>Same</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7202030B" w14:textId="77777777" w:rsidR="00E877AB" w:rsidRDefault="00E877AB">
          <w:pPr>
            <w:ind w:left="140" w:right="140"/>
            <w:jc w:val="center"/>
            <w:rPr>
              <w:sz w:val="18"/>
              <w:szCs w:val="18"/>
            </w:rPr>
          </w:pPr>
          <w:r>
            <w:rPr>
              <w:sz w:val="18"/>
              <w:szCs w:val="18"/>
            </w:rPr>
            <w:t>Same</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523BBDA6" w14:textId="77777777" w:rsidR="00E877AB" w:rsidRDefault="00E877AB">
          <w:pPr>
            <w:ind w:left="140" w:right="140"/>
            <w:jc w:val="center"/>
            <w:rPr>
              <w:sz w:val="18"/>
              <w:szCs w:val="18"/>
            </w:rPr>
          </w:pPr>
          <w:r>
            <w:rPr>
              <w:sz w:val="18"/>
              <w:szCs w:val="18"/>
            </w:rPr>
            <w:t>Embedded</w:t>
          </w:r>
        </w:p>
      </w:tc>
    </w:tr>
    <w:tr w:rsidR="00E877AB" w14:paraId="5316E381" w14:textId="77777777">
      <w:trPr>
        <w:trHeight w:val="22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3F211C22" w14:textId="77777777" w:rsidR="00E877AB" w:rsidRDefault="00E877AB">
          <w:pPr>
            <w:widowControl w:val="0"/>
            <w:pBdr>
              <w:top w:val="nil"/>
              <w:left w:val="nil"/>
              <w:bottom w:val="nil"/>
              <w:right w:val="nil"/>
              <w:between w:val="nil"/>
            </w:pBdr>
            <w:spacing w:line="276" w:lineRule="auto"/>
            <w:rPr>
              <w:sz w:val="18"/>
              <w:szCs w:val="18"/>
            </w:rPr>
          </w:pPr>
        </w:p>
      </w:tc>
      <w:tc>
        <w:tcPr>
          <w:tcW w:w="42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744110B3" w14:textId="77777777" w:rsidR="00E877AB" w:rsidRDefault="00E877AB">
          <w:pPr>
            <w:widowControl w:val="0"/>
            <w:pBdr>
              <w:top w:val="nil"/>
              <w:left w:val="nil"/>
              <w:bottom w:val="nil"/>
              <w:right w:val="nil"/>
              <w:between w:val="nil"/>
            </w:pBdr>
            <w:spacing w:line="276" w:lineRule="auto"/>
            <w:rPr>
              <w:sz w:val="18"/>
              <w:szCs w:val="18"/>
            </w:rPr>
          </w:pP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7F2AA6BF" w14:textId="77777777" w:rsidR="00E877AB" w:rsidRDefault="00E877AB">
          <w:pPr>
            <w:ind w:left="140" w:right="140"/>
            <w:jc w:val="center"/>
            <w:rPr>
              <w:sz w:val="18"/>
              <w:szCs w:val="18"/>
            </w:rPr>
          </w:pPr>
          <w:r>
            <w:rPr>
              <w:sz w:val="18"/>
              <w:szCs w:val="18"/>
            </w:rPr>
            <w:t>Targeting a different market than the core activity using core activity OT</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224BFA2E" w14:textId="77777777" w:rsidR="00E877AB" w:rsidRDefault="00E877AB">
          <w:pPr>
            <w:ind w:left="140" w:right="140"/>
            <w:jc w:val="center"/>
            <w:rPr>
              <w:sz w:val="18"/>
              <w:szCs w:val="18"/>
            </w:rPr>
          </w:pPr>
          <w:r>
            <w:rPr>
              <w:sz w:val="18"/>
              <w:szCs w:val="18"/>
            </w:rPr>
            <w:t>Same</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57C975E0"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66BBF0EF" w14:textId="77777777" w:rsidR="00E877AB" w:rsidRDefault="00E877AB">
          <w:pPr>
            <w:ind w:left="140" w:right="140"/>
            <w:jc w:val="center"/>
            <w:rPr>
              <w:sz w:val="18"/>
              <w:szCs w:val="18"/>
            </w:rPr>
          </w:pPr>
          <w:r>
            <w:rPr>
              <w:sz w:val="18"/>
              <w:szCs w:val="18"/>
            </w:rPr>
            <w:t>Integrated</w:t>
          </w:r>
        </w:p>
      </w:tc>
    </w:tr>
    <w:tr w:rsidR="00E877AB" w14:paraId="60844847" w14:textId="77777777">
      <w:trPr>
        <w:trHeight w:val="25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3022AE2C" w14:textId="77777777" w:rsidR="00E877AB" w:rsidRDefault="00E877AB">
          <w:pPr>
            <w:widowControl w:val="0"/>
            <w:pBdr>
              <w:top w:val="nil"/>
              <w:left w:val="nil"/>
              <w:bottom w:val="nil"/>
              <w:right w:val="nil"/>
              <w:between w:val="nil"/>
            </w:pBdr>
            <w:spacing w:line="276" w:lineRule="auto"/>
            <w:rPr>
              <w:sz w:val="18"/>
              <w:szCs w:val="18"/>
            </w:rPr>
          </w:pPr>
        </w:p>
      </w:tc>
      <w:tc>
        <w:tcPr>
          <w:tcW w:w="42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3D808D73" w14:textId="77777777" w:rsidR="00E877AB" w:rsidRDefault="00E877AB">
          <w:pPr>
            <w:widowControl w:val="0"/>
            <w:pBdr>
              <w:top w:val="nil"/>
              <w:left w:val="nil"/>
              <w:bottom w:val="nil"/>
              <w:right w:val="nil"/>
              <w:between w:val="nil"/>
            </w:pBdr>
            <w:spacing w:line="276" w:lineRule="auto"/>
            <w:rPr>
              <w:sz w:val="18"/>
              <w:szCs w:val="18"/>
            </w:rPr>
          </w:pP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07BF48DA" w14:textId="77777777" w:rsidR="00E877AB" w:rsidRDefault="00E877AB">
          <w:pPr>
            <w:ind w:left="140" w:right="140"/>
            <w:jc w:val="center"/>
            <w:rPr>
              <w:sz w:val="18"/>
              <w:szCs w:val="18"/>
            </w:rPr>
          </w:pPr>
          <w:r>
            <w:rPr>
              <w:sz w:val="18"/>
              <w:szCs w:val="18"/>
            </w:rPr>
            <w:t>In connection with the performances' audience non using core activity OT</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505A7F07" w14:textId="77777777" w:rsidR="00E877AB" w:rsidRDefault="00E877AB">
          <w:pPr>
            <w:ind w:left="140" w:right="140"/>
            <w:jc w:val="center"/>
            <w:rPr>
              <w:sz w:val="18"/>
              <w:szCs w:val="18"/>
            </w:rPr>
          </w:pPr>
          <w:r>
            <w:rPr>
              <w:sz w:val="18"/>
              <w:szCs w:val="18"/>
            </w:rPr>
            <w:t>Different</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3AC81359" w14:textId="77777777" w:rsidR="00E877AB" w:rsidRDefault="00E877AB">
          <w:pPr>
            <w:ind w:left="140" w:right="140"/>
            <w:jc w:val="center"/>
            <w:rPr>
              <w:sz w:val="18"/>
              <w:szCs w:val="18"/>
            </w:rPr>
          </w:pPr>
          <w:r>
            <w:rPr>
              <w:sz w:val="18"/>
              <w:szCs w:val="18"/>
            </w:rPr>
            <w:t>Same</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289B1513" w14:textId="77777777" w:rsidR="00E877AB" w:rsidRDefault="00E877AB">
          <w:pPr>
            <w:ind w:left="140" w:right="140"/>
            <w:jc w:val="center"/>
            <w:rPr>
              <w:sz w:val="18"/>
              <w:szCs w:val="18"/>
            </w:rPr>
          </w:pPr>
          <w:r>
            <w:rPr>
              <w:sz w:val="18"/>
              <w:szCs w:val="18"/>
            </w:rPr>
            <w:t>Integrated</w:t>
          </w:r>
        </w:p>
      </w:tc>
    </w:tr>
    <w:tr w:rsidR="00E877AB" w14:paraId="0B4454C3" w14:textId="77777777">
      <w:trPr>
        <w:trHeight w:val="240"/>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4DD5A57B" w14:textId="77777777" w:rsidR="00E877AB" w:rsidRDefault="00E877AB">
          <w:pPr>
            <w:widowControl w:val="0"/>
            <w:pBdr>
              <w:top w:val="nil"/>
              <w:left w:val="nil"/>
              <w:bottom w:val="nil"/>
              <w:right w:val="nil"/>
              <w:between w:val="nil"/>
            </w:pBdr>
            <w:spacing w:line="276" w:lineRule="auto"/>
            <w:rPr>
              <w:sz w:val="18"/>
              <w:szCs w:val="18"/>
            </w:rPr>
          </w:pPr>
        </w:p>
      </w:tc>
      <w:tc>
        <w:tcPr>
          <w:tcW w:w="42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183A49C9" w14:textId="77777777" w:rsidR="00E877AB" w:rsidRDefault="00E877AB">
          <w:pPr>
            <w:widowControl w:val="0"/>
            <w:pBdr>
              <w:top w:val="nil"/>
              <w:left w:val="nil"/>
              <w:bottom w:val="nil"/>
              <w:right w:val="nil"/>
              <w:between w:val="nil"/>
            </w:pBdr>
            <w:spacing w:line="276" w:lineRule="auto"/>
            <w:rPr>
              <w:sz w:val="18"/>
              <w:szCs w:val="18"/>
            </w:rPr>
          </w:pP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0F2D5F4B" w14:textId="77777777" w:rsidR="00E877AB" w:rsidRDefault="00E877AB">
          <w:pPr>
            <w:ind w:left="140" w:right="140"/>
            <w:jc w:val="center"/>
            <w:rPr>
              <w:sz w:val="18"/>
              <w:szCs w:val="18"/>
            </w:rPr>
          </w:pPr>
          <w:r>
            <w:rPr>
              <w:sz w:val="18"/>
              <w:szCs w:val="18"/>
            </w:rPr>
            <w:t>Targeting a different market than the core activity non using core activity OT</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5AAD675B" w14:textId="77777777" w:rsidR="00E877AB" w:rsidRDefault="00E877AB">
          <w:pPr>
            <w:ind w:left="140" w:right="140"/>
            <w:jc w:val="center"/>
            <w:rPr>
              <w:sz w:val="18"/>
              <w:szCs w:val="18"/>
            </w:rPr>
          </w:pPr>
          <w:r>
            <w:rPr>
              <w:sz w:val="18"/>
              <w:szCs w:val="18"/>
            </w:rPr>
            <w:t>Different</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49630738"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7718BE2A" w14:textId="77777777" w:rsidR="00E877AB" w:rsidRDefault="00E877AB">
          <w:pPr>
            <w:ind w:left="140" w:right="140"/>
            <w:jc w:val="center"/>
            <w:rPr>
              <w:sz w:val="18"/>
              <w:szCs w:val="18"/>
            </w:rPr>
          </w:pPr>
          <w:r>
            <w:rPr>
              <w:sz w:val="18"/>
              <w:szCs w:val="18"/>
            </w:rPr>
            <w:t>External</w:t>
          </w:r>
        </w:p>
      </w:tc>
    </w:tr>
    <w:tr w:rsidR="00E877AB" w14:paraId="5E779EBA" w14:textId="77777777">
      <w:trPr>
        <w:trHeight w:val="22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577467EC" w14:textId="77777777" w:rsidR="00E877AB" w:rsidRDefault="00E877AB">
          <w:pPr>
            <w:widowControl w:val="0"/>
            <w:pBdr>
              <w:top w:val="nil"/>
              <w:left w:val="nil"/>
              <w:bottom w:val="nil"/>
              <w:right w:val="nil"/>
              <w:between w:val="nil"/>
            </w:pBdr>
            <w:spacing w:line="276" w:lineRule="auto"/>
            <w:rPr>
              <w:sz w:val="18"/>
              <w:szCs w:val="18"/>
            </w:rPr>
          </w:pPr>
        </w:p>
      </w:tc>
      <w:tc>
        <w:tcPr>
          <w:tcW w:w="4260" w:type="dxa"/>
          <w:tcBorders>
            <w:top w:val="single" w:sz="6" w:space="0" w:color="000000"/>
            <w:left w:val="single" w:sz="6" w:space="0" w:color="000000"/>
            <w:bottom w:val="single" w:sz="6" w:space="0" w:color="000000"/>
            <w:right w:val="single" w:sz="6" w:space="0" w:color="000000"/>
          </w:tcBorders>
          <w:tcMar>
            <w:top w:w="0" w:type="dxa"/>
            <w:bottom w:w="0" w:type="dxa"/>
          </w:tcMar>
        </w:tcPr>
        <w:p w14:paraId="27C3B395" w14:textId="77777777" w:rsidR="00E877AB" w:rsidRDefault="00E877AB">
          <w:pPr>
            <w:ind w:left="140" w:right="140"/>
            <w:jc w:val="center"/>
            <w:rPr>
              <w:sz w:val="18"/>
              <w:szCs w:val="18"/>
            </w:rPr>
          </w:pPr>
          <w:r>
            <w:rPr>
              <w:sz w:val="18"/>
              <w:szCs w:val="18"/>
            </w:rPr>
            <w:t>Administrative operations</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19CD35B8" w14:textId="77777777" w:rsidR="00E877AB" w:rsidRDefault="00E877AB">
          <w:pPr>
            <w:ind w:left="140" w:right="140"/>
            <w:jc w:val="center"/>
            <w:rPr>
              <w:sz w:val="18"/>
              <w:szCs w:val="18"/>
            </w:rPr>
          </w:pPr>
          <w:r>
            <w:rPr>
              <w:sz w:val="18"/>
              <w:szCs w:val="18"/>
            </w:rPr>
            <w:t>Charged costs</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70929E78" w14:textId="77777777" w:rsidR="00E877AB" w:rsidRDefault="00E877AB">
          <w:pPr>
            <w:ind w:left="140" w:right="140"/>
            <w:jc w:val="center"/>
            <w:rPr>
              <w:sz w:val="18"/>
              <w:szCs w:val="18"/>
            </w:rPr>
          </w:pPr>
          <w:r>
            <w:rPr>
              <w:sz w:val="18"/>
              <w:szCs w:val="18"/>
            </w:rPr>
            <w:t>Same</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43D65E80"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11F4268D" w14:textId="77777777" w:rsidR="00E877AB" w:rsidRDefault="00E877AB">
          <w:pPr>
            <w:ind w:left="140" w:right="140"/>
            <w:jc w:val="center"/>
            <w:rPr>
              <w:sz w:val="18"/>
              <w:szCs w:val="18"/>
            </w:rPr>
          </w:pPr>
          <w:r>
            <w:rPr>
              <w:sz w:val="18"/>
              <w:szCs w:val="18"/>
            </w:rPr>
            <w:t>Integrated</w:t>
          </w:r>
        </w:p>
      </w:tc>
    </w:tr>
    <w:tr w:rsidR="00E877AB" w14:paraId="5BC6A9D1" w14:textId="77777777">
      <w:trPr>
        <w:trHeight w:val="22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2E11258E" w14:textId="77777777" w:rsidR="00E877AB" w:rsidRDefault="00E877AB">
          <w:pPr>
            <w:widowControl w:val="0"/>
            <w:pBdr>
              <w:top w:val="nil"/>
              <w:left w:val="nil"/>
              <w:bottom w:val="nil"/>
              <w:right w:val="nil"/>
              <w:between w:val="nil"/>
            </w:pBdr>
            <w:spacing w:line="276" w:lineRule="auto"/>
            <w:rPr>
              <w:sz w:val="18"/>
              <w:szCs w:val="18"/>
            </w:rPr>
          </w:pPr>
        </w:p>
      </w:tc>
      <w:tc>
        <w:tcPr>
          <w:tcW w:w="4260"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14:paraId="62DA8636" w14:textId="77777777" w:rsidR="00E877AB" w:rsidRDefault="00E877AB">
          <w:pPr>
            <w:ind w:left="140" w:right="140"/>
            <w:jc w:val="center"/>
            <w:rPr>
              <w:sz w:val="18"/>
              <w:szCs w:val="18"/>
            </w:rPr>
          </w:pPr>
          <w:r>
            <w:rPr>
              <w:sz w:val="18"/>
              <w:szCs w:val="18"/>
            </w:rPr>
            <w:t>Rental and sale of tangibles</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745BA659" w14:textId="77777777" w:rsidR="00E877AB" w:rsidRDefault="00E877AB">
          <w:pPr>
            <w:ind w:left="140" w:right="140"/>
            <w:jc w:val="center"/>
            <w:rPr>
              <w:sz w:val="18"/>
              <w:szCs w:val="18"/>
            </w:rPr>
          </w:pPr>
          <w:r>
            <w:rPr>
              <w:sz w:val="18"/>
              <w:szCs w:val="18"/>
            </w:rPr>
            <w:t>Catering non in connection with the performances' audience</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7B099146" w14:textId="77777777" w:rsidR="00E877AB" w:rsidRDefault="00E877AB">
          <w:pPr>
            <w:ind w:left="140" w:right="140"/>
            <w:jc w:val="center"/>
            <w:rPr>
              <w:sz w:val="18"/>
              <w:szCs w:val="18"/>
            </w:rPr>
          </w:pPr>
          <w:r>
            <w:rPr>
              <w:sz w:val="18"/>
              <w:szCs w:val="18"/>
            </w:rPr>
            <w:t>Same</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39172ED4"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496C535B" w14:textId="77777777" w:rsidR="00E877AB" w:rsidRDefault="00E877AB">
          <w:pPr>
            <w:ind w:left="140" w:right="140"/>
            <w:jc w:val="center"/>
            <w:rPr>
              <w:sz w:val="18"/>
              <w:szCs w:val="18"/>
            </w:rPr>
          </w:pPr>
          <w:r>
            <w:rPr>
              <w:sz w:val="18"/>
              <w:szCs w:val="18"/>
            </w:rPr>
            <w:t>External</w:t>
          </w:r>
        </w:p>
      </w:tc>
    </w:tr>
    <w:tr w:rsidR="00E877AB" w14:paraId="20A5F633" w14:textId="77777777">
      <w:trPr>
        <w:trHeight w:val="25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6F6D9602" w14:textId="77777777" w:rsidR="00E877AB" w:rsidRDefault="00E877AB">
          <w:pPr>
            <w:widowControl w:val="0"/>
            <w:pBdr>
              <w:top w:val="nil"/>
              <w:left w:val="nil"/>
              <w:bottom w:val="nil"/>
              <w:right w:val="nil"/>
              <w:between w:val="nil"/>
            </w:pBdr>
            <w:spacing w:line="276" w:lineRule="auto"/>
            <w:rPr>
              <w:sz w:val="18"/>
              <w:szCs w:val="18"/>
            </w:rPr>
          </w:pPr>
        </w:p>
      </w:tc>
      <w:tc>
        <w:tcPr>
          <w:tcW w:w="42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5A20B7D2" w14:textId="77777777" w:rsidR="00E877AB" w:rsidRDefault="00E877AB">
          <w:pPr>
            <w:widowControl w:val="0"/>
            <w:pBdr>
              <w:top w:val="nil"/>
              <w:left w:val="nil"/>
              <w:bottom w:val="nil"/>
              <w:right w:val="nil"/>
              <w:between w:val="nil"/>
            </w:pBdr>
            <w:spacing w:line="276" w:lineRule="auto"/>
            <w:rPr>
              <w:sz w:val="18"/>
              <w:szCs w:val="18"/>
            </w:rPr>
          </w:pP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3438DF1D" w14:textId="77777777" w:rsidR="00E877AB" w:rsidRDefault="00E877AB">
          <w:pPr>
            <w:ind w:left="140" w:right="140"/>
            <w:jc w:val="center"/>
            <w:rPr>
              <w:sz w:val="18"/>
              <w:szCs w:val="18"/>
            </w:rPr>
          </w:pPr>
          <w:r>
            <w:rPr>
              <w:sz w:val="18"/>
              <w:szCs w:val="18"/>
            </w:rPr>
            <w:t>Publications and items sold non in connection with the performances' audience</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04D41DA0" w14:textId="77777777" w:rsidR="00E877AB" w:rsidRDefault="00E877AB">
          <w:pPr>
            <w:ind w:left="140" w:right="140"/>
            <w:jc w:val="center"/>
            <w:rPr>
              <w:sz w:val="18"/>
              <w:szCs w:val="18"/>
            </w:rPr>
          </w:pPr>
          <w:r>
            <w:rPr>
              <w:sz w:val="18"/>
              <w:szCs w:val="18"/>
            </w:rPr>
            <w:t>Different</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58813E8B"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714935E8" w14:textId="77777777" w:rsidR="00E877AB" w:rsidRDefault="00E877AB">
          <w:pPr>
            <w:ind w:left="140" w:right="140"/>
            <w:jc w:val="center"/>
            <w:rPr>
              <w:sz w:val="18"/>
              <w:szCs w:val="18"/>
            </w:rPr>
          </w:pPr>
          <w:r>
            <w:rPr>
              <w:sz w:val="18"/>
              <w:szCs w:val="18"/>
            </w:rPr>
            <w:t>External</w:t>
          </w:r>
        </w:p>
      </w:tc>
    </w:tr>
    <w:tr w:rsidR="00E877AB" w14:paraId="07D6D86C" w14:textId="77777777">
      <w:trPr>
        <w:trHeight w:val="240"/>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19E2D22E" w14:textId="77777777" w:rsidR="00E877AB" w:rsidRDefault="00E877AB">
          <w:pPr>
            <w:widowControl w:val="0"/>
            <w:pBdr>
              <w:top w:val="nil"/>
              <w:left w:val="nil"/>
              <w:bottom w:val="nil"/>
              <w:right w:val="nil"/>
              <w:between w:val="nil"/>
            </w:pBdr>
            <w:spacing w:line="276" w:lineRule="auto"/>
            <w:rPr>
              <w:sz w:val="18"/>
              <w:szCs w:val="18"/>
            </w:rPr>
          </w:pPr>
        </w:p>
      </w:tc>
      <w:tc>
        <w:tcPr>
          <w:tcW w:w="42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2DA5E569" w14:textId="77777777" w:rsidR="00E877AB" w:rsidRDefault="00E877AB">
          <w:pPr>
            <w:widowControl w:val="0"/>
            <w:pBdr>
              <w:top w:val="nil"/>
              <w:left w:val="nil"/>
              <w:bottom w:val="nil"/>
              <w:right w:val="nil"/>
              <w:between w:val="nil"/>
            </w:pBdr>
            <w:spacing w:line="276" w:lineRule="auto"/>
            <w:rPr>
              <w:sz w:val="18"/>
              <w:szCs w:val="18"/>
            </w:rPr>
          </w:pP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505EB78C" w14:textId="77777777" w:rsidR="00E877AB" w:rsidRDefault="00E877AB">
          <w:pPr>
            <w:ind w:left="140" w:right="140"/>
            <w:jc w:val="center"/>
            <w:rPr>
              <w:sz w:val="18"/>
              <w:szCs w:val="18"/>
            </w:rPr>
          </w:pPr>
          <w:r>
            <w:rPr>
              <w:sz w:val="18"/>
              <w:szCs w:val="18"/>
            </w:rPr>
            <w:t>Rental of space</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5CB45DDC" w14:textId="77777777" w:rsidR="00E877AB" w:rsidRDefault="00E877AB">
          <w:pPr>
            <w:ind w:left="140" w:right="140"/>
            <w:jc w:val="center"/>
            <w:rPr>
              <w:sz w:val="18"/>
              <w:szCs w:val="18"/>
            </w:rPr>
          </w:pPr>
          <w:r>
            <w:rPr>
              <w:sz w:val="18"/>
              <w:szCs w:val="18"/>
            </w:rPr>
            <w:t>Different</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0E819F43"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1DC774C1" w14:textId="77777777" w:rsidR="00E877AB" w:rsidRDefault="00E877AB">
          <w:pPr>
            <w:ind w:left="140" w:right="140"/>
            <w:jc w:val="center"/>
            <w:rPr>
              <w:sz w:val="18"/>
              <w:szCs w:val="18"/>
            </w:rPr>
          </w:pPr>
          <w:r>
            <w:rPr>
              <w:sz w:val="18"/>
              <w:szCs w:val="18"/>
            </w:rPr>
            <w:t>External</w:t>
          </w:r>
        </w:p>
      </w:tc>
    </w:tr>
    <w:tr w:rsidR="00E877AB" w14:paraId="426F9A6A" w14:textId="77777777">
      <w:trPr>
        <w:trHeight w:val="22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58396593" w14:textId="77777777" w:rsidR="00E877AB" w:rsidRDefault="00E877AB">
          <w:pPr>
            <w:widowControl w:val="0"/>
            <w:pBdr>
              <w:top w:val="nil"/>
              <w:left w:val="nil"/>
              <w:bottom w:val="nil"/>
              <w:right w:val="nil"/>
              <w:between w:val="nil"/>
            </w:pBdr>
            <w:spacing w:line="276" w:lineRule="auto"/>
            <w:rPr>
              <w:sz w:val="18"/>
              <w:szCs w:val="18"/>
            </w:rPr>
          </w:pPr>
        </w:p>
      </w:tc>
      <w:tc>
        <w:tcPr>
          <w:tcW w:w="42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2CFA970A" w14:textId="77777777" w:rsidR="00E877AB" w:rsidRDefault="00E877AB">
          <w:pPr>
            <w:widowControl w:val="0"/>
            <w:pBdr>
              <w:top w:val="nil"/>
              <w:left w:val="nil"/>
              <w:bottom w:val="nil"/>
              <w:right w:val="nil"/>
              <w:between w:val="nil"/>
            </w:pBdr>
            <w:spacing w:line="276" w:lineRule="auto"/>
            <w:rPr>
              <w:sz w:val="18"/>
              <w:szCs w:val="18"/>
            </w:rPr>
          </w:pP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24811DEC" w14:textId="77777777" w:rsidR="00E877AB" w:rsidRDefault="00E877AB">
          <w:pPr>
            <w:ind w:left="140" w:right="140"/>
            <w:jc w:val="center"/>
            <w:rPr>
              <w:sz w:val="18"/>
              <w:szCs w:val="18"/>
            </w:rPr>
          </w:pPr>
          <w:r>
            <w:rPr>
              <w:sz w:val="18"/>
              <w:szCs w:val="18"/>
            </w:rPr>
            <w:t>Rental and or sale of material</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08659E8F" w14:textId="77777777" w:rsidR="00E877AB" w:rsidRDefault="00E877AB">
          <w:pPr>
            <w:ind w:left="140" w:right="140"/>
            <w:jc w:val="center"/>
            <w:rPr>
              <w:sz w:val="18"/>
              <w:szCs w:val="18"/>
            </w:rPr>
          </w:pPr>
          <w:r>
            <w:rPr>
              <w:sz w:val="18"/>
              <w:szCs w:val="18"/>
            </w:rPr>
            <w:t>Different</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3D8093CA"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08B27CEF" w14:textId="77777777" w:rsidR="00E877AB" w:rsidRDefault="00E877AB">
          <w:pPr>
            <w:ind w:left="140" w:right="140"/>
            <w:jc w:val="center"/>
            <w:rPr>
              <w:sz w:val="18"/>
              <w:szCs w:val="18"/>
            </w:rPr>
          </w:pPr>
          <w:r>
            <w:rPr>
              <w:sz w:val="18"/>
              <w:szCs w:val="18"/>
            </w:rPr>
            <w:t>External</w:t>
          </w:r>
        </w:p>
      </w:tc>
    </w:tr>
    <w:tr w:rsidR="00E877AB" w14:paraId="4B62F757" w14:textId="77777777">
      <w:trPr>
        <w:trHeight w:val="225"/>
      </w:trPr>
      <w:tc>
        <w:tcPr>
          <w:tcW w:w="1560" w:type="dxa"/>
          <w:tcBorders>
            <w:top w:val="single" w:sz="6" w:space="0" w:color="000000"/>
            <w:left w:val="single" w:sz="6" w:space="0" w:color="000000"/>
            <w:bottom w:val="single" w:sz="6" w:space="0" w:color="000000"/>
            <w:right w:val="single" w:sz="6" w:space="0" w:color="000000"/>
          </w:tcBorders>
          <w:tcMar>
            <w:top w:w="0" w:type="dxa"/>
            <w:bottom w:w="0" w:type="dxa"/>
          </w:tcMar>
        </w:tcPr>
        <w:p w14:paraId="4E83BA2F" w14:textId="77777777" w:rsidR="00E877AB" w:rsidRDefault="00E877AB">
          <w:pPr>
            <w:ind w:left="140" w:right="140"/>
            <w:jc w:val="center"/>
            <w:rPr>
              <w:b/>
              <w:bCs/>
              <w:sz w:val="18"/>
              <w:szCs w:val="18"/>
            </w:rPr>
          </w:pPr>
          <w:r>
            <w:rPr>
              <w:b/>
              <w:bCs/>
              <w:sz w:val="18"/>
              <w:szCs w:val="18"/>
            </w:rPr>
            <w:t>Indirect</w:t>
          </w:r>
        </w:p>
      </w:tc>
      <w:tc>
        <w:tcPr>
          <w:tcW w:w="4260" w:type="dxa"/>
          <w:tcBorders>
            <w:top w:val="single" w:sz="6" w:space="0" w:color="000000"/>
            <w:left w:val="single" w:sz="6" w:space="0" w:color="000000"/>
            <w:bottom w:val="single" w:sz="6" w:space="0" w:color="000000"/>
            <w:right w:val="single" w:sz="6" w:space="0" w:color="000000"/>
          </w:tcBorders>
          <w:tcMar>
            <w:top w:w="0" w:type="dxa"/>
            <w:bottom w:w="0" w:type="dxa"/>
          </w:tcMar>
        </w:tcPr>
        <w:p w14:paraId="2E8A8992" w14:textId="77777777" w:rsidR="00E877AB" w:rsidRDefault="00E877AB">
          <w:pPr>
            <w:ind w:left="140" w:right="140"/>
            <w:jc w:val="center"/>
            <w:rPr>
              <w:sz w:val="18"/>
              <w:szCs w:val="18"/>
            </w:rPr>
          </w:pPr>
          <w:r>
            <w:rPr>
              <w:sz w:val="18"/>
              <w:szCs w:val="18"/>
            </w:rPr>
            <w:t>Use of intellectual property rights</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13CC807B" w14:textId="77777777" w:rsidR="00E877AB" w:rsidRDefault="00E877AB">
          <w:pPr>
            <w:ind w:left="140" w:right="140"/>
            <w:jc w:val="center"/>
            <w:rPr>
              <w:sz w:val="18"/>
              <w:szCs w:val="18"/>
            </w:rPr>
          </w:pPr>
          <w:r>
            <w:rPr>
              <w:sz w:val="18"/>
              <w:szCs w:val="18"/>
            </w:rPr>
            <w:t xml:space="preserve"> </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2769AB61" w14:textId="77777777" w:rsidR="00E877AB" w:rsidRDefault="00E877AB">
          <w:pPr>
            <w:ind w:left="140" w:right="140"/>
            <w:jc w:val="center"/>
            <w:rPr>
              <w:sz w:val="18"/>
              <w:szCs w:val="18"/>
            </w:rPr>
          </w:pPr>
          <w:r>
            <w:rPr>
              <w:sz w:val="18"/>
              <w:szCs w:val="18"/>
            </w:rPr>
            <w:t>Same</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1BE060A9"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09E9049F" w14:textId="77777777" w:rsidR="00E877AB" w:rsidRDefault="00E877AB">
          <w:pPr>
            <w:ind w:left="140" w:right="140"/>
            <w:jc w:val="center"/>
            <w:rPr>
              <w:sz w:val="18"/>
              <w:szCs w:val="18"/>
            </w:rPr>
          </w:pPr>
          <w:r>
            <w:rPr>
              <w:sz w:val="18"/>
              <w:szCs w:val="18"/>
            </w:rPr>
            <w:t>Integrated</w:t>
          </w:r>
        </w:p>
      </w:tc>
    </w:tr>
    <w:tr w:rsidR="00E877AB" w14:paraId="38E77C69" w14:textId="77777777">
      <w:trPr>
        <w:trHeight w:val="225"/>
      </w:trPr>
      <w:tc>
        <w:tcPr>
          <w:tcW w:w="1560" w:type="dxa"/>
          <w:tcBorders>
            <w:top w:val="single" w:sz="6" w:space="0" w:color="000000"/>
            <w:left w:val="single" w:sz="6" w:space="0" w:color="000000"/>
            <w:bottom w:val="single" w:sz="6" w:space="0" w:color="000000"/>
            <w:right w:val="single" w:sz="6" w:space="0" w:color="000000"/>
          </w:tcBorders>
          <w:tcMar>
            <w:top w:w="0" w:type="dxa"/>
            <w:bottom w:w="0" w:type="dxa"/>
          </w:tcMar>
        </w:tcPr>
        <w:p w14:paraId="2EB7AB8F" w14:textId="77777777" w:rsidR="00E877AB" w:rsidRDefault="00E877AB">
          <w:pPr>
            <w:ind w:left="140" w:right="140"/>
            <w:jc w:val="center"/>
            <w:rPr>
              <w:b/>
              <w:bCs/>
              <w:sz w:val="18"/>
              <w:szCs w:val="18"/>
            </w:rPr>
          </w:pPr>
          <w:r>
            <w:rPr>
              <w:b/>
              <w:bCs/>
              <w:sz w:val="18"/>
              <w:szCs w:val="18"/>
            </w:rPr>
            <w:t xml:space="preserve"> </w:t>
          </w:r>
        </w:p>
      </w:tc>
      <w:tc>
        <w:tcPr>
          <w:tcW w:w="4260" w:type="dxa"/>
          <w:tcBorders>
            <w:top w:val="single" w:sz="6" w:space="0" w:color="000000"/>
            <w:left w:val="single" w:sz="6" w:space="0" w:color="000000"/>
            <w:bottom w:val="single" w:sz="6" w:space="0" w:color="000000"/>
            <w:right w:val="single" w:sz="6" w:space="0" w:color="000000"/>
          </w:tcBorders>
          <w:tcMar>
            <w:top w:w="0" w:type="dxa"/>
            <w:bottom w:w="0" w:type="dxa"/>
          </w:tcMar>
        </w:tcPr>
        <w:p w14:paraId="573D5674" w14:textId="77777777" w:rsidR="00E877AB" w:rsidRDefault="00E877AB">
          <w:pPr>
            <w:ind w:left="140" w:right="140"/>
            <w:jc w:val="center"/>
            <w:rPr>
              <w:sz w:val="18"/>
              <w:szCs w:val="18"/>
            </w:rPr>
          </w:pPr>
          <w:r>
            <w:rPr>
              <w:sz w:val="18"/>
              <w:szCs w:val="18"/>
            </w:rPr>
            <w:t>Art commissions</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672A813F" w14:textId="77777777" w:rsidR="00E877AB" w:rsidRDefault="00E877AB">
          <w:pPr>
            <w:ind w:left="140" w:right="140"/>
            <w:jc w:val="center"/>
            <w:rPr>
              <w:sz w:val="18"/>
              <w:szCs w:val="18"/>
            </w:rPr>
          </w:pPr>
          <w:r>
            <w:rPr>
              <w:sz w:val="18"/>
              <w:szCs w:val="18"/>
            </w:rPr>
            <w:t xml:space="preserve"> </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64AD374F" w14:textId="77777777" w:rsidR="00E877AB" w:rsidRDefault="00E877AB">
          <w:pPr>
            <w:ind w:left="140" w:right="140"/>
            <w:jc w:val="center"/>
            <w:rPr>
              <w:sz w:val="18"/>
              <w:szCs w:val="18"/>
            </w:rPr>
          </w:pPr>
          <w:r>
            <w:rPr>
              <w:sz w:val="18"/>
              <w:szCs w:val="18"/>
            </w:rPr>
            <w:t>Same</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642FC157"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1719192C" w14:textId="77777777" w:rsidR="00E877AB" w:rsidRDefault="00E877AB">
          <w:pPr>
            <w:ind w:left="140" w:right="140"/>
            <w:jc w:val="center"/>
            <w:rPr>
              <w:sz w:val="18"/>
              <w:szCs w:val="18"/>
            </w:rPr>
          </w:pPr>
          <w:r>
            <w:rPr>
              <w:sz w:val="18"/>
              <w:szCs w:val="18"/>
            </w:rPr>
            <w:t>Integrated</w:t>
          </w:r>
        </w:p>
      </w:tc>
    </w:tr>
    <w:tr w:rsidR="00E877AB" w14:paraId="6A86758D" w14:textId="77777777">
      <w:trPr>
        <w:trHeight w:val="225"/>
      </w:trPr>
      <w:tc>
        <w:tcPr>
          <w:tcW w:w="1560" w:type="dxa"/>
          <w:tcBorders>
            <w:top w:val="single" w:sz="6" w:space="0" w:color="000000"/>
            <w:left w:val="single" w:sz="6" w:space="0" w:color="000000"/>
            <w:bottom w:val="single" w:sz="6" w:space="0" w:color="000000"/>
            <w:right w:val="single" w:sz="6" w:space="0" w:color="000000"/>
          </w:tcBorders>
          <w:tcMar>
            <w:top w:w="0" w:type="dxa"/>
            <w:bottom w:w="0" w:type="dxa"/>
          </w:tcMar>
        </w:tcPr>
        <w:p w14:paraId="239C904D" w14:textId="77777777" w:rsidR="00E877AB" w:rsidRDefault="00E877AB">
          <w:pPr>
            <w:ind w:left="140" w:right="140"/>
            <w:jc w:val="center"/>
            <w:rPr>
              <w:b/>
              <w:bCs/>
              <w:sz w:val="18"/>
              <w:szCs w:val="18"/>
            </w:rPr>
          </w:pPr>
          <w:r>
            <w:rPr>
              <w:b/>
              <w:bCs/>
              <w:sz w:val="18"/>
              <w:szCs w:val="18"/>
            </w:rPr>
            <w:t xml:space="preserve"> </w:t>
          </w:r>
        </w:p>
      </w:tc>
      <w:tc>
        <w:tcPr>
          <w:tcW w:w="4260" w:type="dxa"/>
          <w:tcBorders>
            <w:top w:val="single" w:sz="6" w:space="0" w:color="000000"/>
            <w:left w:val="single" w:sz="6" w:space="0" w:color="000000"/>
            <w:bottom w:val="single" w:sz="6" w:space="0" w:color="000000"/>
            <w:right w:val="single" w:sz="6" w:space="0" w:color="000000"/>
          </w:tcBorders>
          <w:tcMar>
            <w:top w:w="0" w:type="dxa"/>
            <w:bottom w:w="0" w:type="dxa"/>
          </w:tcMar>
        </w:tcPr>
        <w:p w14:paraId="4858B0BD" w14:textId="77777777" w:rsidR="00E877AB" w:rsidRDefault="00E877AB">
          <w:pPr>
            <w:ind w:left="140" w:right="140"/>
            <w:jc w:val="center"/>
            <w:rPr>
              <w:sz w:val="18"/>
              <w:szCs w:val="18"/>
            </w:rPr>
          </w:pPr>
          <w:r>
            <w:rPr>
              <w:sz w:val="18"/>
              <w:szCs w:val="18"/>
            </w:rPr>
            <w:t>Lending of staff</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0D81298A" w14:textId="77777777" w:rsidR="00E877AB" w:rsidRDefault="00E877AB">
          <w:pPr>
            <w:ind w:left="140" w:right="140"/>
            <w:jc w:val="center"/>
            <w:rPr>
              <w:sz w:val="18"/>
              <w:szCs w:val="18"/>
            </w:rPr>
          </w:pPr>
          <w:r>
            <w:rPr>
              <w:sz w:val="18"/>
              <w:szCs w:val="18"/>
            </w:rPr>
            <w:t xml:space="preserve"> </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2F2355AC" w14:textId="77777777" w:rsidR="00E877AB" w:rsidRDefault="00E877AB">
          <w:pPr>
            <w:ind w:left="140" w:right="140"/>
            <w:jc w:val="center"/>
            <w:rPr>
              <w:sz w:val="18"/>
              <w:szCs w:val="18"/>
            </w:rPr>
          </w:pPr>
          <w:r>
            <w:rPr>
              <w:sz w:val="18"/>
              <w:szCs w:val="18"/>
            </w:rPr>
            <w:t>Same</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799A6659"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33554D62" w14:textId="77777777" w:rsidR="00E877AB" w:rsidRDefault="00E877AB">
          <w:pPr>
            <w:ind w:left="140" w:right="140"/>
            <w:jc w:val="center"/>
            <w:rPr>
              <w:sz w:val="18"/>
              <w:szCs w:val="18"/>
            </w:rPr>
          </w:pPr>
          <w:r>
            <w:rPr>
              <w:sz w:val="18"/>
              <w:szCs w:val="18"/>
            </w:rPr>
            <w:t>Integrated</w:t>
          </w:r>
        </w:p>
      </w:tc>
    </w:tr>
    <w:tr w:rsidR="00E877AB" w14:paraId="7C3190F9" w14:textId="77777777">
      <w:trPr>
        <w:trHeight w:val="225"/>
      </w:trPr>
      <w:tc>
        <w:tcPr>
          <w:tcW w:w="1560" w:type="dxa"/>
          <w:tcBorders>
            <w:top w:val="single" w:sz="6" w:space="0" w:color="000000"/>
            <w:left w:val="single" w:sz="6" w:space="0" w:color="000000"/>
            <w:bottom w:val="single" w:sz="6" w:space="0" w:color="000000"/>
            <w:right w:val="single" w:sz="6" w:space="0" w:color="000000"/>
          </w:tcBorders>
          <w:tcMar>
            <w:top w:w="0" w:type="dxa"/>
            <w:bottom w:w="0" w:type="dxa"/>
          </w:tcMar>
        </w:tcPr>
        <w:p w14:paraId="435890F7" w14:textId="77777777" w:rsidR="00E877AB" w:rsidRDefault="00E877AB">
          <w:pPr>
            <w:ind w:left="140" w:right="140"/>
            <w:jc w:val="center"/>
            <w:rPr>
              <w:b/>
              <w:bCs/>
              <w:sz w:val="18"/>
              <w:szCs w:val="18"/>
            </w:rPr>
          </w:pPr>
          <w:r>
            <w:rPr>
              <w:b/>
              <w:bCs/>
              <w:sz w:val="18"/>
              <w:szCs w:val="18"/>
            </w:rPr>
            <w:t xml:space="preserve"> </w:t>
          </w:r>
        </w:p>
      </w:tc>
      <w:tc>
        <w:tcPr>
          <w:tcW w:w="4260" w:type="dxa"/>
          <w:tcBorders>
            <w:top w:val="single" w:sz="6" w:space="0" w:color="000000"/>
            <w:left w:val="single" w:sz="6" w:space="0" w:color="000000"/>
            <w:bottom w:val="single" w:sz="6" w:space="0" w:color="000000"/>
            <w:right w:val="single" w:sz="6" w:space="0" w:color="000000"/>
          </w:tcBorders>
          <w:tcMar>
            <w:top w:w="0" w:type="dxa"/>
            <w:bottom w:w="0" w:type="dxa"/>
          </w:tcMar>
        </w:tcPr>
        <w:p w14:paraId="37BE3F67" w14:textId="77777777" w:rsidR="00E877AB" w:rsidRDefault="00E877AB">
          <w:pPr>
            <w:ind w:left="140" w:right="140"/>
            <w:jc w:val="center"/>
            <w:rPr>
              <w:sz w:val="18"/>
              <w:szCs w:val="18"/>
            </w:rPr>
          </w:pPr>
          <w:r>
            <w:rPr>
              <w:sz w:val="18"/>
              <w:szCs w:val="18"/>
            </w:rPr>
            <w:t>Other\unspecified</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18932CEF" w14:textId="77777777" w:rsidR="00E877AB" w:rsidRDefault="00E877AB">
          <w:pPr>
            <w:ind w:left="140" w:right="140"/>
            <w:jc w:val="center"/>
            <w:rPr>
              <w:sz w:val="18"/>
              <w:szCs w:val="18"/>
            </w:rPr>
          </w:pPr>
          <w:r>
            <w:rPr>
              <w:sz w:val="18"/>
              <w:szCs w:val="18"/>
            </w:rPr>
            <w:t xml:space="preserve"> </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612F907C" w14:textId="77777777" w:rsidR="00E877AB" w:rsidRDefault="00E877AB">
          <w:pPr>
            <w:ind w:left="140" w:right="140"/>
            <w:jc w:val="center"/>
            <w:rPr>
              <w:sz w:val="18"/>
              <w:szCs w:val="18"/>
            </w:rPr>
          </w:pPr>
          <w:r>
            <w:rPr>
              <w:sz w:val="18"/>
              <w:szCs w:val="18"/>
            </w:rPr>
            <w:t>Different</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78C6BFB5"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7BB57AB6" w14:textId="77777777" w:rsidR="00E877AB" w:rsidRDefault="00E877AB">
          <w:pPr>
            <w:ind w:left="140" w:right="140"/>
            <w:jc w:val="center"/>
            <w:rPr>
              <w:sz w:val="18"/>
              <w:szCs w:val="18"/>
            </w:rPr>
          </w:pPr>
          <w:r>
            <w:rPr>
              <w:sz w:val="18"/>
              <w:szCs w:val="18"/>
            </w:rPr>
            <w:t>External</w:t>
          </w:r>
        </w:p>
      </w:tc>
    </w:tr>
    <w:tr w:rsidR="00E877AB" w14:paraId="2A7DCACE" w14:textId="77777777">
      <w:trPr>
        <w:trHeight w:val="225"/>
      </w:trPr>
      <w:tc>
        <w:tcPr>
          <w:tcW w:w="1560"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14:paraId="1493A036" w14:textId="77777777" w:rsidR="00E877AB" w:rsidRDefault="00E877AB">
          <w:pPr>
            <w:ind w:left="140" w:right="140"/>
            <w:jc w:val="center"/>
            <w:rPr>
              <w:b/>
              <w:bCs/>
              <w:sz w:val="18"/>
              <w:szCs w:val="18"/>
            </w:rPr>
          </w:pPr>
          <w:r>
            <w:rPr>
              <w:b/>
              <w:bCs/>
              <w:sz w:val="18"/>
              <w:szCs w:val="18"/>
            </w:rPr>
            <w:t xml:space="preserve"> </w:t>
          </w:r>
        </w:p>
      </w:tc>
      <w:tc>
        <w:tcPr>
          <w:tcW w:w="4260"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14:paraId="7E7605EA" w14:textId="77777777" w:rsidR="00E877AB" w:rsidRDefault="00E877AB">
          <w:pPr>
            <w:ind w:left="140" w:right="140"/>
            <w:jc w:val="center"/>
            <w:rPr>
              <w:sz w:val="18"/>
              <w:szCs w:val="18"/>
            </w:rPr>
          </w:pPr>
          <w:r>
            <w:rPr>
              <w:sz w:val="18"/>
              <w:szCs w:val="18"/>
            </w:rPr>
            <w:t>Workshops, educational activities, and presentations</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10CDDB18" w14:textId="77777777" w:rsidR="00E877AB" w:rsidRDefault="00E877AB">
          <w:pPr>
            <w:ind w:left="140" w:right="140"/>
            <w:jc w:val="center"/>
            <w:rPr>
              <w:sz w:val="18"/>
              <w:szCs w:val="18"/>
            </w:rPr>
          </w:pPr>
          <w:r>
            <w:rPr>
              <w:sz w:val="18"/>
              <w:szCs w:val="18"/>
            </w:rPr>
            <w:t>In connection with the performances' audience using core activity OT</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445AEF93" w14:textId="77777777" w:rsidR="00E877AB" w:rsidRDefault="00E877AB">
          <w:pPr>
            <w:ind w:left="140" w:right="140"/>
            <w:jc w:val="center"/>
            <w:rPr>
              <w:sz w:val="18"/>
              <w:szCs w:val="18"/>
            </w:rPr>
          </w:pPr>
          <w:r>
            <w:rPr>
              <w:sz w:val="18"/>
              <w:szCs w:val="18"/>
            </w:rPr>
            <w:t>Same</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6FA5BBA8" w14:textId="77777777" w:rsidR="00E877AB" w:rsidRDefault="00E877AB">
          <w:pPr>
            <w:ind w:left="140" w:right="140"/>
            <w:jc w:val="center"/>
            <w:rPr>
              <w:sz w:val="18"/>
              <w:szCs w:val="18"/>
            </w:rPr>
          </w:pPr>
          <w:r>
            <w:rPr>
              <w:sz w:val="18"/>
              <w:szCs w:val="18"/>
            </w:rPr>
            <w:t>Same</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441D1364" w14:textId="77777777" w:rsidR="00E877AB" w:rsidRDefault="00E877AB">
          <w:pPr>
            <w:ind w:left="140" w:right="140"/>
            <w:jc w:val="center"/>
            <w:rPr>
              <w:sz w:val="18"/>
              <w:szCs w:val="18"/>
            </w:rPr>
          </w:pPr>
          <w:r>
            <w:rPr>
              <w:sz w:val="18"/>
              <w:szCs w:val="18"/>
            </w:rPr>
            <w:t>Embedded</w:t>
          </w:r>
        </w:p>
      </w:tc>
    </w:tr>
    <w:tr w:rsidR="00E877AB" w14:paraId="7945E6F0" w14:textId="77777777">
      <w:trPr>
        <w:trHeight w:val="22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36DA14C2" w14:textId="77777777" w:rsidR="00E877AB" w:rsidRDefault="00E877AB">
          <w:pPr>
            <w:widowControl w:val="0"/>
            <w:pBdr>
              <w:top w:val="nil"/>
              <w:left w:val="nil"/>
              <w:bottom w:val="nil"/>
              <w:right w:val="nil"/>
              <w:between w:val="nil"/>
            </w:pBdr>
            <w:spacing w:line="276" w:lineRule="auto"/>
            <w:rPr>
              <w:sz w:val="18"/>
              <w:szCs w:val="18"/>
            </w:rPr>
          </w:pPr>
        </w:p>
      </w:tc>
      <w:tc>
        <w:tcPr>
          <w:tcW w:w="42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675B1ABC" w14:textId="77777777" w:rsidR="00E877AB" w:rsidRDefault="00E877AB">
          <w:pPr>
            <w:widowControl w:val="0"/>
            <w:pBdr>
              <w:top w:val="nil"/>
              <w:left w:val="nil"/>
              <w:bottom w:val="nil"/>
              <w:right w:val="nil"/>
              <w:between w:val="nil"/>
            </w:pBdr>
            <w:spacing w:line="276" w:lineRule="auto"/>
            <w:rPr>
              <w:sz w:val="18"/>
              <w:szCs w:val="18"/>
            </w:rPr>
          </w:pP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2D1D8A58" w14:textId="77777777" w:rsidR="00E877AB" w:rsidRDefault="00E877AB">
          <w:pPr>
            <w:ind w:left="140" w:right="140"/>
            <w:jc w:val="center"/>
            <w:rPr>
              <w:sz w:val="18"/>
              <w:szCs w:val="18"/>
            </w:rPr>
          </w:pPr>
          <w:r>
            <w:rPr>
              <w:sz w:val="18"/>
              <w:szCs w:val="18"/>
            </w:rPr>
            <w:t>Activities offered to specific TMs</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615128F5" w14:textId="77777777" w:rsidR="00E877AB" w:rsidRDefault="00E877AB">
          <w:pPr>
            <w:ind w:left="140" w:right="140"/>
            <w:jc w:val="center"/>
            <w:rPr>
              <w:sz w:val="18"/>
              <w:szCs w:val="18"/>
            </w:rPr>
          </w:pPr>
          <w:r>
            <w:rPr>
              <w:sz w:val="18"/>
              <w:szCs w:val="18"/>
            </w:rPr>
            <w:t>Same</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019D3ACA"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07E50D8F" w14:textId="77777777" w:rsidR="00E877AB" w:rsidRDefault="00E877AB">
          <w:pPr>
            <w:ind w:left="140" w:right="140"/>
            <w:jc w:val="center"/>
            <w:rPr>
              <w:sz w:val="18"/>
              <w:szCs w:val="18"/>
            </w:rPr>
          </w:pPr>
          <w:r>
            <w:rPr>
              <w:sz w:val="18"/>
              <w:szCs w:val="18"/>
            </w:rPr>
            <w:t>Integrated</w:t>
          </w:r>
        </w:p>
      </w:tc>
    </w:tr>
    <w:tr w:rsidR="00E877AB" w14:paraId="37572593" w14:textId="77777777">
      <w:trPr>
        <w:trHeight w:val="225"/>
      </w:trPr>
      <w:tc>
        <w:tcPr>
          <w:tcW w:w="1560"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14:paraId="09B96F2D" w14:textId="77777777" w:rsidR="00E877AB" w:rsidRDefault="00E877AB">
          <w:pPr>
            <w:ind w:left="140" w:right="140"/>
            <w:jc w:val="center"/>
            <w:rPr>
              <w:b/>
              <w:bCs/>
              <w:sz w:val="18"/>
              <w:szCs w:val="18"/>
            </w:rPr>
          </w:pPr>
          <w:r>
            <w:rPr>
              <w:b/>
              <w:bCs/>
              <w:sz w:val="18"/>
              <w:szCs w:val="18"/>
            </w:rPr>
            <w:t xml:space="preserve"> </w:t>
          </w:r>
        </w:p>
      </w:tc>
      <w:tc>
        <w:tcPr>
          <w:tcW w:w="4260"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14:paraId="29EAD576" w14:textId="77777777" w:rsidR="00E877AB" w:rsidRDefault="00E877AB">
          <w:pPr>
            <w:ind w:left="140" w:right="140"/>
            <w:jc w:val="center"/>
            <w:rPr>
              <w:sz w:val="18"/>
              <w:szCs w:val="18"/>
            </w:rPr>
          </w:pPr>
          <w:r>
            <w:rPr>
              <w:sz w:val="18"/>
              <w:szCs w:val="18"/>
            </w:rPr>
            <w:t>Administrative operations</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310BC79D" w14:textId="77777777" w:rsidR="00E877AB" w:rsidRDefault="00E877AB">
          <w:pPr>
            <w:ind w:left="140" w:right="140"/>
            <w:jc w:val="center"/>
            <w:rPr>
              <w:sz w:val="18"/>
              <w:szCs w:val="18"/>
            </w:rPr>
          </w:pPr>
          <w:r>
            <w:rPr>
              <w:sz w:val="18"/>
              <w:szCs w:val="18"/>
            </w:rPr>
            <w:t>Passed-on costs</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2BF5B145" w14:textId="77777777" w:rsidR="00E877AB" w:rsidRDefault="00E877AB">
          <w:pPr>
            <w:ind w:left="140" w:right="140"/>
            <w:jc w:val="center"/>
            <w:rPr>
              <w:sz w:val="18"/>
              <w:szCs w:val="18"/>
            </w:rPr>
          </w:pPr>
          <w:r>
            <w:rPr>
              <w:sz w:val="18"/>
              <w:szCs w:val="18"/>
            </w:rPr>
            <w:t>Same</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0B9E78BD" w14:textId="77777777" w:rsidR="00E877AB" w:rsidRDefault="00E877AB">
          <w:pPr>
            <w:ind w:left="140" w:right="140"/>
            <w:jc w:val="center"/>
            <w:rPr>
              <w:sz w:val="18"/>
              <w:szCs w:val="18"/>
            </w:rPr>
          </w:pPr>
          <w:r>
            <w:rPr>
              <w:sz w:val="18"/>
              <w:szCs w:val="18"/>
            </w:rPr>
            <w:t>Same</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598AA7E0" w14:textId="77777777" w:rsidR="00E877AB" w:rsidRDefault="00E877AB">
          <w:pPr>
            <w:ind w:left="140" w:right="140"/>
            <w:jc w:val="center"/>
            <w:rPr>
              <w:sz w:val="18"/>
              <w:szCs w:val="18"/>
            </w:rPr>
          </w:pPr>
          <w:r>
            <w:rPr>
              <w:sz w:val="18"/>
              <w:szCs w:val="18"/>
            </w:rPr>
            <w:t>Embedded</w:t>
          </w:r>
        </w:p>
      </w:tc>
    </w:tr>
    <w:tr w:rsidR="00E877AB" w14:paraId="49FD7227" w14:textId="77777777">
      <w:trPr>
        <w:trHeight w:val="22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25495324" w14:textId="77777777" w:rsidR="00E877AB" w:rsidRDefault="00E877AB">
          <w:pPr>
            <w:widowControl w:val="0"/>
            <w:pBdr>
              <w:top w:val="nil"/>
              <w:left w:val="nil"/>
              <w:bottom w:val="nil"/>
              <w:right w:val="nil"/>
              <w:between w:val="nil"/>
            </w:pBdr>
            <w:spacing w:line="276" w:lineRule="auto"/>
            <w:rPr>
              <w:sz w:val="18"/>
              <w:szCs w:val="18"/>
            </w:rPr>
          </w:pPr>
        </w:p>
      </w:tc>
      <w:tc>
        <w:tcPr>
          <w:tcW w:w="42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090764A6" w14:textId="77777777" w:rsidR="00E877AB" w:rsidRDefault="00E877AB">
          <w:pPr>
            <w:widowControl w:val="0"/>
            <w:pBdr>
              <w:top w:val="nil"/>
              <w:left w:val="nil"/>
              <w:bottom w:val="nil"/>
              <w:right w:val="nil"/>
              <w:between w:val="nil"/>
            </w:pBdr>
            <w:spacing w:line="276" w:lineRule="auto"/>
            <w:rPr>
              <w:sz w:val="18"/>
              <w:szCs w:val="18"/>
            </w:rPr>
          </w:pP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7BACDC3D" w14:textId="77777777" w:rsidR="00E877AB" w:rsidRDefault="00E877AB">
          <w:pPr>
            <w:ind w:left="140" w:right="140"/>
            <w:jc w:val="center"/>
            <w:rPr>
              <w:sz w:val="18"/>
              <w:szCs w:val="18"/>
            </w:rPr>
          </w:pPr>
          <w:r>
            <w:rPr>
              <w:sz w:val="18"/>
              <w:szCs w:val="18"/>
            </w:rPr>
            <w:t>Charged costs</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318A093F" w14:textId="77777777" w:rsidR="00E877AB" w:rsidRDefault="00E877AB">
          <w:pPr>
            <w:ind w:left="140" w:right="140"/>
            <w:jc w:val="center"/>
            <w:rPr>
              <w:sz w:val="18"/>
              <w:szCs w:val="18"/>
            </w:rPr>
          </w:pPr>
          <w:r>
            <w:rPr>
              <w:sz w:val="18"/>
              <w:szCs w:val="18"/>
            </w:rPr>
            <w:t>Same</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17917DBF"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4391C348" w14:textId="77777777" w:rsidR="00E877AB" w:rsidRDefault="00E877AB">
          <w:pPr>
            <w:ind w:left="140" w:right="140"/>
            <w:jc w:val="center"/>
            <w:rPr>
              <w:sz w:val="18"/>
              <w:szCs w:val="18"/>
            </w:rPr>
          </w:pPr>
          <w:r>
            <w:rPr>
              <w:sz w:val="18"/>
              <w:szCs w:val="18"/>
            </w:rPr>
            <w:t>Integrated</w:t>
          </w:r>
        </w:p>
      </w:tc>
    </w:tr>
    <w:tr w:rsidR="00E877AB" w14:paraId="688EE0E0" w14:textId="77777777">
      <w:trPr>
        <w:trHeight w:val="22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1B112992" w14:textId="77777777" w:rsidR="00E877AB" w:rsidRDefault="00E877AB">
          <w:pPr>
            <w:widowControl w:val="0"/>
            <w:pBdr>
              <w:top w:val="nil"/>
              <w:left w:val="nil"/>
              <w:bottom w:val="nil"/>
              <w:right w:val="nil"/>
              <w:between w:val="nil"/>
            </w:pBdr>
            <w:spacing w:line="276" w:lineRule="auto"/>
            <w:rPr>
              <w:sz w:val="18"/>
              <w:szCs w:val="18"/>
            </w:rPr>
          </w:pPr>
        </w:p>
      </w:tc>
      <w:tc>
        <w:tcPr>
          <w:tcW w:w="42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7C7492FD" w14:textId="77777777" w:rsidR="00E877AB" w:rsidRDefault="00E877AB">
          <w:pPr>
            <w:widowControl w:val="0"/>
            <w:pBdr>
              <w:top w:val="nil"/>
              <w:left w:val="nil"/>
              <w:bottom w:val="nil"/>
              <w:right w:val="nil"/>
              <w:between w:val="nil"/>
            </w:pBdr>
            <w:spacing w:line="276" w:lineRule="auto"/>
            <w:rPr>
              <w:sz w:val="18"/>
              <w:szCs w:val="18"/>
            </w:rPr>
          </w:pP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1F37E2A8" w14:textId="77777777" w:rsidR="00E877AB" w:rsidRDefault="00E877AB">
          <w:pPr>
            <w:ind w:left="140" w:right="140"/>
            <w:jc w:val="center"/>
            <w:rPr>
              <w:sz w:val="18"/>
              <w:szCs w:val="18"/>
            </w:rPr>
          </w:pPr>
          <w:r>
            <w:rPr>
              <w:sz w:val="18"/>
              <w:szCs w:val="18"/>
            </w:rPr>
            <w:t>Accrued costs</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3DFF0C7D" w14:textId="77777777" w:rsidR="00E877AB" w:rsidRDefault="00E877AB">
          <w:pPr>
            <w:ind w:left="140" w:right="140"/>
            <w:jc w:val="center"/>
            <w:rPr>
              <w:sz w:val="18"/>
              <w:szCs w:val="18"/>
            </w:rPr>
          </w:pPr>
          <w:r>
            <w:rPr>
              <w:sz w:val="18"/>
              <w:szCs w:val="18"/>
            </w:rPr>
            <w:t>Same</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7C8EFFDB"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14FA7CB5" w14:textId="77777777" w:rsidR="00E877AB" w:rsidRDefault="00E877AB">
          <w:pPr>
            <w:ind w:left="140" w:right="140"/>
            <w:jc w:val="center"/>
            <w:rPr>
              <w:sz w:val="18"/>
              <w:szCs w:val="18"/>
            </w:rPr>
          </w:pPr>
          <w:r>
            <w:rPr>
              <w:sz w:val="18"/>
              <w:szCs w:val="18"/>
            </w:rPr>
            <w:t>Integrated</w:t>
          </w:r>
        </w:p>
      </w:tc>
    </w:tr>
    <w:tr w:rsidR="00E877AB" w14:paraId="08648E8F" w14:textId="77777777">
      <w:trPr>
        <w:trHeight w:val="225"/>
      </w:trPr>
      <w:tc>
        <w:tcPr>
          <w:tcW w:w="1560"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14:paraId="4C55E943" w14:textId="77777777" w:rsidR="00E877AB" w:rsidRDefault="00E877AB">
          <w:pPr>
            <w:ind w:left="140" w:right="140"/>
            <w:jc w:val="center"/>
            <w:rPr>
              <w:b/>
              <w:bCs/>
              <w:sz w:val="18"/>
              <w:szCs w:val="18"/>
            </w:rPr>
          </w:pPr>
          <w:r>
            <w:rPr>
              <w:b/>
              <w:bCs/>
              <w:sz w:val="18"/>
              <w:szCs w:val="18"/>
            </w:rPr>
            <w:t xml:space="preserve"> </w:t>
          </w:r>
        </w:p>
      </w:tc>
      <w:tc>
        <w:tcPr>
          <w:tcW w:w="4260"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14:paraId="16E27ACC" w14:textId="77777777" w:rsidR="00E877AB" w:rsidRDefault="00E877AB">
          <w:pPr>
            <w:ind w:left="140" w:right="140"/>
            <w:jc w:val="center"/>
            <w:rPr>
              <w:sz w:val="18"/>
              <w:szCs w:val="18"/>
            </w:rPr>
          </w:pPr>
          <w:r>
            <w:rPr>
              <w:sz w:val="18"/>
              <w:szCs w:val="18"/>
            </w:rPr>
            <w:t>Rental and sale of tangibles</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098D9438" w14:textId="77777777" w:rsidR="00E877AB" w:rsidRDefault="00E877AB">
          <w:pPr>
            <w:ind w:left="140" w:right="140"/>
            <w:jc w:val="center"/>
            <w:rPr>
              <w:sz w:val="18"/>
              <w:szCs w:val="18"/>
            </w:rPr>
          </w:pPr>
          <w:r>
            <w:rPr>
              <w:sz w:val="18"/>
              <w:szCs w:val="18"/>
            </w:rPr>
            <w:t>Catering non in connection with the performances' audience</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177BCCFD" w14:textId="77777777" w:rsidR="00E877AB" w:rsidRDefault="00E877AB">
          <w:pPr>
            <w:ind w:left="140" w:right="140"/>
            <w:jc w:val="center"/>
            <w:rPr>
              <w:sz w:val="18"/>
              <w:szCs w:val="18"/>
            </w:rPr>
          </w:pPr>
          <w:r>
            <w:rPr>
              <w:sz w:val="18"/>
              <w:szCs w:val="18"/>
            </w:rPr>
            <w:t>Different</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0373B292"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08964869" w14:textId="77777777" w:rsidR="00E877AB" w:rsidRDefault="00E877AB">
          <w:pPr>
            <w:ind w:left="140" w:right="140"/>
            <w:jc w:val="center"/>
            <w:rPr>
              <w:sz w:val="18"/>
              <w:szCs w:val="18"/>
            </w:rPr>
          </w:pPr>
          <w:r>
            <w:rPr>
              <w:sz w:val="18"/>
              <w:szCs w:val="18"/>
            </w:rPr>
            <w:t>External</w:t>
          </w:r>
        </w:p>
      </w:tc>
    </w:tr>
    <w:tr w:rsidR="00E877AB" w14:paraId="3DA1A668" w14:textId="77777777">
      <w:trPr>
        <w:trHeight w:val="25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14BDB016" w14:textId="77777777" w:rsidR="00E877AB" w:rsidRDefault="00E877AB">
          <w:pPr>
            <w:widowControl w:val="0"/>
            <w:pBdr>
              <w:top w:val="nil"/>
              <w:left w:val="nil"/>
              <w:bottom w:val="nil"/>
              <w:right w:val="nil"/>
              <w:between w:val="nil"/>
            </w:pBdr>
            <w:spacing w:line="276" w:lineRule="auto"/>
            <w:rPr>
              <w:sz w:val="18"/>
              <w:szCs w:val="18"/>
            </w:rPr>
          </w:pPr>
        </w:p>
      </w:tc>
      <w:tc>
        <w:tcPr>
          <w:tcW w:w="42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4C18EEF1" w14:textId="77777777" w:rsidR="00E877AB" w:rsidRDefault="00E877AB">
          <w:pPr>
            <w:widowControl w:val="0"/>
            <w:pBdr>
              <w:top w:val="nil"/>
              <w:left w:val="nil"/>
              <w:bottom w:val="nil"/>
              <w:right w:val="nil"/>
              <w:between w:val="nil"/>
            </w:pBdr>
            <w:spacing w:line="276" w:lineRule="auto"/>
            <w:rPr>
              <w:sz w:val="18"/>
              <w:szCs w:val="18"/>
            </w:rPr>
          </w:pP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7393812B" w14:textId="77777777" w:rsidR="00E877AB" w:rsidRDefault="00E877AB">
          <w:pPr>
            <w:ind w:left="140" w:right="140"/>
            <w:jc w:val="center"/>
            <w:rPr>
              <w:sz w:val="18"/>
              <w:szCs w:val="18"/>
            </w:rPr>
          </w:pPr>
          <w:r>
            <w:rPr>
              <w:sz w:val="18"/>
              <w:szCs w:val="18"/>
            </w:rPr>
            <w:t>Publications and items sold non in connection with the performances' audience</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7CCF44DB" w14:textId="77777777" w:rsidR="00E877AB" w:rsidRDefault="00E877AB">
          <w:pPr>
            <w:ind w:left="140" w:right="140"/>
            <w:jc w:val="center"/>
            <w:rPr>
              <w:sz w:val="18"/>
              <w:szCs w:val="18"/>
            </w:rPr>
          </w:pPr>
          <w:r>
            <w:rPr>
              <w:sz w:val="18"/>
              <w:szCs w:val="18"/>
            </w:rPr>
            <w:t>Different</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369177AD"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05A8F3E7" w14:textId="77777777" w:rsidR="00E877AB" w:rsidRDefault="00E877AB">
          <w:pPr>
            <w:ind w:left="140" w:right="140"/>
            <w:jc w:val="center"/>
            <w:rPr>
              <w:sz w:val="18"/>
              <w:szCs w:val="18"/>
            </w:rPr>
          </w:pPr>
          <w:r>
            <w:rPr>
              <w:sz w:val="18"/>
              <w:szCs w:val="18"/>
            </w:rPr>
            <w:t>External</w:t>
          </w:r>
        </w:p>
      </w:tc>
    </w:tr>
    <w:tr w:rsidR="00E877AB" w14:paraId="7A2C294F" w14:textId="77777777">
      <w:trPr>
        <w:trHeight w:val="22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7D79B42D" w14:textId="77777777" w:rsidR="00E877AB" w:rsidRDefault="00E877AB">
          <w:pPr>
            <w:widowControl w:val="0"/>
            <w:pBdr>
              <w:top w:val="nil"/>
              <w:left w:val="nil"/>
              <w:bottom w:val="nil"/>
              <w:right w:val="nil"/>
              <w:between w:val="nil"/>
            </w:pBdr>
            <w:spacing w:line="276" w:lineRule="auto"/>
            <w:rPr>
              <w:sz w:val="18"/>
              <w:szCs w:val="18"/>
            </w:rPr>
          </w:pPr>
        </w:p>
      </w:tc>
      <w:tc>
        <w:tcPr>
          <w:tcW w:w="42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41021EBB" w14:textId="77777777" w:rsidR="00E877AB" w:rsidRDefault="00E877AB">
          <w:pPr>
            <w:widowControl w:val="0"/>
            <w:pBdr>
              <w:top w:val="nil"/>
              <w:left w:val="nil"/>
              <w:bottom w:val="nil"/>
              <w:right w:val="nil"/>
              <w:between w:val="nil"/>
            </w:pBdr>
            <w:spacing w:line="276" w:lineRule="auto"/>
            <w:rPr>
              <w:sz w:val="18"/>
              <w:szCs w:val="18"/>
            </w:rPr>
          </w:pP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0961B37E" w14:textId="77777777" w:rsidR="00E877AB" w:rsidRDefault="00E877AB">
          <w:pPr>
            <w:ind w:left="140" w:right="140"/>
            <w:jc w:val="center"/>
            <w:rPr>
              <w:sz w:val="18"/>
              <w:szCs w:val="18"/>
            </w:rPr>
          </w:pPr>
          <w:r>
            <w:rPr>
              <w:sz w:val="18"/>
              <w:szCs w:val="18"/>
            </w:rPr>
            <w:t>Rental of space</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042FAE29" w14:textId="77777777" w:rsidR="00E877AB" w:rsidRDefault="00E877AB">
          <w:pPr>
            <w:ind w:left="140" w:right="140"/>
            <w:jc w:val="center"/>
            <w:rPr>
              <w:sz w:val="18"/>
              <w:szCs w:val="18"/>
            </w:rPr>
          </w:pPr>
          <w:r>
            <w:rPr>
              <w:sz w:val="18"/>
              <w:szCs w:val="18"/>
            </w:rPr>
            <w:t>Different</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34391604"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0D0E56FF" w14:textId="77777777" w:rsidR="00E877AB" w:rsidRDefault="00E877AB">
          <w:pPr>
            <w:ind w:left="140" w:right="140"/>
            <w:jc w:val="center"/>
            <w:rPr>
              <w:sz w:val="18"/>
              <w:szCs w:val="18"/>
            </w:rPr>
          </w:pPr>
          <w:r>
            <w:rPr>
              <w:sz w:val="18"/>
              <w:szCs w:val="18"/>
            </w:rPr>
            <w:t>External</w:t>
          </w:r>
        </w:p>
      </w:tc>
    </w:tr>
    <w:tr w:rsidR="00E877AB" w14:paraId="7537BF5D" w14:textId="77777777">
      <w:trPr>
        <w:trHeight w:val="225"/>
      </w:trPr>
      <w:tc>
        <w:tcPr>
          <w:tcW w:w="15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0B39B024" w14:textId="77777777" w:rsidR="00E877AB" w:rsidRDefault="00E877AB">
          <w:pPr>
            <w:widowControl w:val="0"/>
            <w:pBdr>
              <w:top w:val="nil"/>
              <w:left w:val="nil"/>
              <w:bottom w:val="nil"/>
              <w:right w:val="nil"/>
              <w:between w:val="nil"/>
            </w:pBdr>
            <w:spacing w:line="276" w:lineRule="auto"/>
            <w:rPr>
              <w:sz w:val="18"/>
              <w:szCs w:val="18"/>
            </w:rPr>
          </w:pPr>
        </w:p>
      </w:tc>
      <w:tc>
        <w:tcPr>
          <w:tcW w:w="4260" w:type="dxa"/>
          <w:vMerge/>
          <w:tcBorders>
            <w:top w:val="single" w:sz="6" w:space="0" w:color="000000"/>
            <w:left w:val="single" w:sz="6" w:space="0" w:color="000000"/>
            <w:bottom w:val="single" w:sz="6" w:space="0" w:color="000000"/>
            <w:right w:val="single" w:sz="6" w:space="0" w:color="000000"/>
          </w:tcBorders>
          <w:tcMar>
            <w:top w:w="0" w:type="dxa"/>
            <w:bottom w:w="0" w:type="dxa"/>
          </w:tcMar>
        </w:tcPr>
        <w:p w14:paraId="3F27130B" w14:textId="77777777" w:rsidR="00E877AB" w:rsidRDefault="00E877AB">
          <w:pPr>
            <w:widowControl w:val="0"/>
            <w:pBdr>
              <w:top w:val="nil"/>
              <w:left w:val="nil"/>
              <w:bottom w:val="nil"/>
              <w:right w:val="nil"/>
              <w:between w:val="nil"/>
            </w:pBdr>
            <w:spacing w:line="276" w:lineRule="auto"/>
            <w:rPr>
              <w:sz w:val="18"/>
              <w:szCs w:val="18"/>
            </w:rPr>
          </w:pP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59126F27" w14:textId="77777777" w:rsidR="00E877AB" w:rsidRDefault="00E877AB">
          <w:pPr>
            <w:ind w:left="140" w:right="140"/>
            <w:jc w:val="center"/>
            <w:rPr>
              <w:sz w:val="18"/>
              <w:szCs w:val="18"/>
            </w:rPr>
          </w:pPr>
          <w:r>
            <w:rPr>
              <w:sz w:val="18"/>
              <w:szCs w:val="18"/>
            </w:rPr>
            <w:t>Rental and or sale of material</w:t>
          </w:r>
        </w:p>
      </w:tc>
      <w:tc>
        <w:tcPr>
          <w:tcW w:w="1140" w:type="dxa"/>
          <w:tcBorders>
            <w:top w:val="single" w:sz="6" w:space="0" w:color="000000"/>
            <w:left w:val="single" w:sz="6" w:space="0" w:color="000000"/>
            <w:bottom w:val="single" w:sz="6" w:space="0" w:color="000000"/>
            <w:right w:val="single" w:sz="6" w:space="0" w:color="000000"/>
          </w:tcBorders>
          <w:tcMar>
            <w:top w:w="0" w:type="dxa"/>
            <w:bottom w:w="0" w:type="dxa"/>
          </w:tcMar>
        </w:tcPr>
        <w:p w14:paraId="333F030F" w14:textId="77777777" w:rsidR="00E877AB" w:rsidRDefault="00E877AB">
          <w:pPr>
            <w:ind w:left="140" w:right="140"/>
            <w:jc w:val="center"/>
            <w:rPr>
              <w:sz w:val="18"/>
              <w:szCs w:val="18"/>
            </w:rPr>
          </w:pPr>
          <w:r>
            <w:rPr>
              <w:sz w:val="18"/>
              <w:szCs w:val="18"/>
            </w:rPr>
            <w:t>Different</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136532C4"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2C59344A" w14:textId="77777777" w:rsidR="00E877AB" w:rsidRDefault="00E877AB">
          <w:pPr>
            <w:ind w:left="140" w:right="140"/>
            <w:jc w:val="center"/>
            <w:rPr>
              <w:sz w:val="18"/>
              <w:szCs w:val="18"/>
            </w:rPr>
          </w:pPr>
          <w:r>
            <w:rPr>
              <w:sz w:val="18"/>
              <w:szCs w:val="18"/>
            </w:rPr>
            <w:t>External</w:t>
          </w:r>
        </w:p>
      </w:tc>
    </w:tr>
    <w:tr w:rsidR="00E877AB" w14:paraId="6E3D4EC5" w14:textId="77777777">
      <w:trPr>
        <w:trHeight w:val="225"/>
      </w:trPr>
      <w:tc>
        <w:tcPr>
          <w:tcW w:w="1560" w:type="dxa"/>
          <w:tcBorders>
            <w:top w:val="single" w:sz="6" w:space="0" w:color="000000"/>
            <w:left w:val="single" w:sz="6" w:space="0" w:color="000000"/>
            <w:bottom w:val="single" w:sz="6" w:space="0" w:color="000000"/>
            <w:right w:val="single" w:sz="6" w:space="0" w:color="000000"/>
          </w:tcBorders>
          <w:tcMar>
            <w:top w:w="0" w:type="dxa"/>
            <w:bottom w:w="0" w:type="dxa"/>
          </w:tcMar>
        </w:tcPr>
        <w:p w14:paraId="76B553BC" w14:textId="77777777" w:rsidR="00E877AB" w:rsidRDefault="00E877AB">
          <w:pPr>
            <w:ind w:left="140" w:right="140"/>
            <w:jc w:val="center"/>
            <w:rPr>
              <w:b/>
              <w:bCs/>
              <w:sz w:val="18"/>
              <w:szCs w:val="18"/>
            </w:rPr>
          </w:pPr>
          <w:r>
            <w:rPr>
              <w:b/>
              <w:bCs/>
              <w:sz w:val="18"/>
              <w:szCs w:val="18"/>
            </w:rPr>
            <w:t>Sponsor</w:t>
          </w:r>
        </w:p>
      </w:tc>
      <w:tc>
        <w:tcPr>
          <w:tcW w:w="4260" w:type="dxa"/>
          <w:tcBorders>
            <w:top w:val="single" w:sz="6" w:space="0" w:color="000000"/>
            <w:left w:val="single" w:sz="6" w:space="0" w:color="000000"/>
            <w:bottom w:val="single" w:sz="6" w:space="0" w:color="000000"/>
            <w:right w:val="single" w:sz="6" w:space="0" w:color="000000"/>
          </w:tcBorders>
          <w:tcMar>
            <w:top w:w="0" w:type="dxa"/>
            <w:bottom w:w="0" w:type="dxa"/>
          </w:tcMar>
        </w:tcPr>
        <w:p w14:paraId="255A445E" w14:textId="77777777" w:rsidR="00E877AB" w:rsidRDefault="00E877AB">
          <w:pPr>
            <w:ind w:left="140" w:right="140"/>
            <w:rPr>
              <w:sz w:val="18"/>
              <w:szCs w:val="18"/>
            </w:rPr>
          </w:pPr>
          <w:r>
            <w:rPr>
              <w:sz w:val="18"/>
              <w:szCs w:val="18"/>
            </w:rPr>
            <w:t>In kind and financial sponsorship</w:t>
          </w:r>
        </w:p>
      </w:tc>
      <w:tc>
        <w:tcPr>
          <w:tcW w:w="6180" w:type="dxa"/>
          <w:tcBorders>
            <w:top w:val="single" w:sz="6" w:space="0" w:color="000000"/>
            <w:left w:val="single" w:sz="6" w:space="0" w:color="000000"/>
            <w:bottom w:val="single" w:sz="6" w:space="0" w:color="000000"/>
            <w:right w:val="single" w:sz="6" w:space="0" w:color="000000"/>
          </w:tcBorders>
          <w:tcMar>
            <w:top w:w="0" w:type="dxa"/>
            <w:bottom w:w="0" w:type="dxa"/>
          </w:tcMar>
        </w:tcPr>
        <w:p w14:paraId="12FD8160" w14:textId="77777777" w:rsidR="00E877AB" w:rsidRDefault="00E877AB">
          <w:pPr>
            <w:ind w:left="140" w:right="140"/>
            <w:rPr>
              <w:sz w:val="18"/>
              <w:szCs w:val="18"/>
            </w:rPr>
          </w:pPr>
          <w:r>
            <w:rPr>
              <w:sz w:val="18"/>
              <w:szCs w:val="18"/>
            </w:rPr>
            <w:t xml:space="preserve"> </w:t>
          </w:r>
        </w:p>
      </w:tc>
      <w:tc>
        <w:tcPr>
          <w:tcW w:w="1140" w:type="dxa"/>
          <w:tcBorders>
            <w:top w:val="single" w:sz="6" w:space="0" w:color="000000"/>
            <w:left w:val="single" w:sz="6" w:space="0" w:color="000000"/>
            <w:bottom w:val="single" w:sz="8" w:space="0" w:color="000000"/>
            <w:right w:val="single" w:sz="6" w:space="0" w:color="000000"/>
          </w:tcBorders>
          <w:tcMar>
            <w:top w:w="0" w:type="dxa"/>
            <w:bottom w:w="0" w:type="dxa"/>
          </w:tcMar>
        </w:tcPr>
        <w:p w14:paraId="2258EE55" w14:textId="77777777" w:rsidR="00E877AB" w:rsidRDefault="00E877AB">
          <w:pPr>
            <w:ind w:left="140" w:right="140"/>
            <w:jc w:val="center"/>
            <w:rPr>
              <w:sz w:val="18"/>
              <w:szCs w:val="18"/>
            </w:rPr>
          </w:pPr>
          <w:r>
            <w:rPr>
              <w:sz w:val="18"/>
              <w:szCs w:val="18"/>
            </w:rPr>
            <w:t>Different</w:t>
          </w:r>
        </w:p>
      </w:tc>
      <w:tc>
        <w:tcPr>
          <w:tcW w:w="1155" w:type="dxa"/>
          <w:tcBorders>
            <w:top w:val="single" w:sz="6" w:space="0" w:color="000000"/>
            <w:left w:val="single" w:sz="6" w:space="0" w:color="000000"/>
            <w:bottom w:val="single" w:sz="6" w:space="0" w:color="000000"/>
            <w:right w:val="single" w:sz="6" w:space="0" w:color="000000"/>
          </w:tcBorders>
          <w:tcMar>
            <w:top w:w="0" w:type="dxa"/>
            <w:bottom w:w="0" w:type="dxa"/>
          </w:tcMar>
        </w:tcPr>
        <w:p w14:paraId="48BBFE08" w14:textId="77777777" w:rsidR="00E877AB" w:rsidRDefault="00E877AB">
          <w:pPr>
            <w:ind w:left="140" w:right="140"/>
            <w:jc w:val="center"/>
            <w:rPr>
              <w:sz w:val="18"/>
              <w:szCs w:val="18"/>
            </w:rPr>
          </w:pPr>
          <w:r>
            <w:rPr>
              <w:sz w:val="18"/>
              <w:szCs w:val="18"/>
            </w:rPr>
            <w:t>Different</w:t>
          </w:r>
        </w:p>
      </w:tc>
      <w:tc>
        <w:tcPr>
          <w:tcW w:w="1665" w:type="dxa"/>
          <w:tcBorders>
            <w:top w:val="single" w:sz="6" w:space="0" w:color="000000"/>
            <w:left w:val="single" w:sz="6" w:space="0" w:color="000000"/>
            <w:bottom w:val="single" w:sz="6" w:space="0" w:color="000000"/>
            <w:right w:val="single" w:sz="6" w:space="0" w:color="000000"/>
          </w:tcBorders>
          <w:tcMar>
            <w:top w:w="0" w:type="dxa"/>
            <w:bottom w:w="0" w:type="dxa"/>
          </w:tcMar>
        </w:tcPr>
        <w:p w14:paraId="6F0D59DC" w14:textId="77777777" w:rsidR="00E877AB" w:rsidRDefault="00E877AB">
          <w:pPr>
            <w:ind w:left="140" w:right="140"/>
            <w:jc w:val="center"/>
            <w:rPr>
              <w:sz w:val="18"/>
              <w:szCs w:val="18"/>
            </w:rPr>
          </w:pPr>
          <w:r>
            <w:rPr>
              <w:sz w:val="18"/>
              <w:szCs w:val="18"/>
            </w:rPr>
            <w:t>External</w:t>
          </w:r>
        </w:p>
      </w:tc>
    </w:tr>
  </w:tbl>
  <w:p w14:paraId="4103D387" w14:textId="77777777" w:rsidR="00E877AB" w:rsidRDefault="00E877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E5E0B"/>
    <w:multiLevelType w:val="multilevel"/>
    <w:tmpl w:val="0BBEF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4F5C9A"/>
    <w:multiLevelType w:val="multilevel"/>
    <w:tmpl w:val="7A50B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4094844">
    <w:abstractNumId w:val="0"/>
  </w:num>
  <w:num w:numId="2" w16cid:durableId="10426340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03F"/>
    <w:rsid w:val="0009245C"/>
    <w:rsid w:val="00106DDC"/>
    <w:rsid w:val="001C0456"/>
    <w:rsid w:val="00350A36"/>
    <w:rsid w:val="003B7BC3"/>
    <w:rsid w:val="00441BA8"/>
    <w:rsid w:val="004D28E8"/>
    <w:rsid w:val="0052633D"/>
    <w:rsid w:val="0057299F"/>
    <w:rsid w:val="006F0802"/>
    <w:rsid w:val="00715417"/>
    <w:rsid w:val="007E003F"/>
    <w:rsid w:val="00A805A4"/>
    <w:rsid w:val="00C75140"/>
    <w:rsid w:val="00E279C9"/>
    <w:rsid w:val="00E56621"/>
    <w:rsid w:val="00E877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6C325"/>
  <w15:docId w15:val="{6B0D86A2-6BDE-452F-8A5A-9A7D9D652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NormalWeb">
    <w:name w:val="Normal (Web)"/>
    <w:basedOn w:val="Normal"/>
    <w:uiPriority w:val="99"/>
    <w:unhideWhenUsed/>
    <w:rsid w:val="0042750D"/>
    <w:pPr>
      <w:spacing w:before="100" w:beforeAutospacing="1" w:after="100" w:afterAutospacing="1"/>
    </w:pPr>
  </w:style>
  <w:style w:type="character" w:customStyle="1" w:styleId="apple-tab-span">
    <w:name w:val="apple-tab-span"/>
    <w:basedOn w:val="DefaultParagraphFont"/>
    <w:rsid w:val="0042750D"/>
  </w:style>
  <w:style w:type="character" w:styleId="CommentReference">
    <w:name w:val="annotation reference"/>
    <w:basedOn w:val="DefaultParagraphFont"/>
    <w:uiPriority w:val="99"/>
    <w:semiHidden/>
    <w:unhideWhenUsed/>
    <w:rsid w:val="0042750D"/>
    <w:rPr>
      <w:sz w:val="16"/>
      <w:szCs w:val="16"/>
    </w:rPr>
  </w:style>
  <w:style w:type="paragraph" w:styleId="CommentText">
    <w:name w:val="annotation text"/>
    <w:basedOn w:val="Normal"/>
    <w:link w:val="CommentTextChar"/>
    <w:uiPriority w:val="99"/>
    <w:semiHidden/>
    <w:unhideWhenUsed/>
    <w:rsid w:val="0042750D"/>
    <w:rPr>
      <w:sz w:val="20"/>
      <w:szCs w:val="20"/>
    </w:rPr>
  </w:style>
  <w:style w:type="character" w:customStyle="1" w:styleId="CommentTextChar">
    <w:name w:val="Comment Text Char"/>
    <w:basedOn w:val="DefaultParagraphFont"/>
    <w:link w:val="CommentText"/>
    <w:uiPriority w:val="99"/>
    <w:semiHidden/>
    <w:rsid w:val="0042750D"/>
    <w:rPr>
      <w:rFonts w:ascii="Times New Roman" w:eastAsia="Times New Roman" w:hAnsi="Times New Roman" w:cs="Times New Roman"/>
      <w:kern w:val="0"/>
      <w:sz w:val="20"/>
      <w:szCs w:val="20"/>
      <w:lang w:eastAsia="en-GB"/>
    </w:rPr>
  </w:style>
  <w:style w:type="paragraph" w:styleId="CommentSubject">
    <w:name w:val="annotation subject"/>
    <w:basedOn w:val="CommentText"/>
    <w:next w:val="CommentText"/>
    <w:link w:val="CommentSubjectChar"/>
    <w:uiPriority w:val="99"/>
    <w:semiHidden/>
    <w:unhideWhenUsed/>
    <w:rsid w:val="0042750D"/>
    <w:rPr>
      <w:b/>
      <w:bCs/>
    </w:rPr>
  </w:style>
  <w:style w:type="character" w:customStyle="1" w:styleId="CommentSubjectChar">
    <w:name w:val="Comment Subject Char"/>
    <w:basedOn w:val="CommentTextChar"/>
    <w:link w:val="CommentSubject"/>
    <w:uiPriority w:val="99"/>
    <w:semiHidden/>
    <w:rsid w:val="0042750D"/>
    <w:rPr>
      <w:rFonts w:ascii="Times New Roman" w:eastAsia="Times New Roman" w:hAnsi="Times New Roman" w:cs="Times New Roman"/>
      <w:b/>
      <w:bCs/>
      <w:kern w:val="0"/>
      <w:sz w:val="20"/>
      <w:szCs w:val="20"/>
      <w:lang w:eastAsia="en-GB"/>
    </w:rPr>
  </w:style>
  <w:style w:type="paragraph" w:styleId="Header">
    <w:name w:val="header"/>
    <w:basedOn w:val="Normal"/>
    <w:link w:val="HeaderChar"/>
    <w:uiPriority w:val="99"/>
    <w:unhideWhenUsed/>
    <w:rsid w:val="0042750D"/>
    <w:pPr>
      <w:tabs>
        <w:tab w:val="center" w:pos="4513"/>
        <w:tab w:val="right" w:pos="9026"/>
      </w:tabs>
    </w:pPr>
  </w:style>
  <w:style w:type="character" w:customStyle="1" w:styleId="HeaderChar">
    <w:name w:val="Header Char"/>
    <w:basedOn w:val="DefaultParagraphFont"/>
    <w:link w:val="Header"/>
    <w:uiPriority w:val="99"/>
    <w:rsid w:val="0042750D"/>
    <w:rPr>
      <w:rFonts w:ascii="Times New Roman" w:eastAsia="Times New Roman" w:hAnsi="Times New Roman" w:cs="Times New Roman"/>
      <w:kern w:val="0"/>
      <w:lang w:eastAsia="en-GB"/>
    </w:rPr>
  </w:style>
  <w:style w:type="paragraph" w:styleId="Footer">
    <w:name w:val="footer"/>
    <w:basedOn w:val="Normal"/>
    <w:link w:val="FooterChar"/>
    <w:uiPriority w:val="99"/>
    <w:unhideWhenUsed/>
    <w:rsid w:val="0042750D"/>
    <w:pPr>
      <w:tabs>
        <w:tab w:val="center" w:pos="4513"/>
        <w:tab w:val="right" w:pos="9026"/>
      </w:tabs>
    </w:pPr>
  </w:style>
  <w:style w:type="character" w:customStyle="1" w:styleId="FooterChar">
    <w:name w:val="Footer Char"/>
    <w:basedOn w:val="DefaultParagraphFont"/>
    <w:link w:val="Footer"/>
    <w:uiPriority w:val="99"/>
    <w:rsid w:val="0042750D"/>
    <w:rPr>
      <w:rFonts w:ascii="Times New Roman" w:eastAsia="Times New Roman" w:hAnsi="Times New Roman" w:cs="Times New Roman"/>
      <w:kern w:val="0"/>
      <w:lang w:eastAsia="en-GB"/>
    </w:rPr>
  </w:style>
  <w:style w:type="character" w:styleId="PageNumber">
    <w:name w:val="page number"/>
    <w:basedOn w:val="DefaultParagraphFont"/>
    <w:uiPriority w:val="99"/>
    <w:semiHidden/>
    <w:unhideWhenUsed/>
    <w:rsid w:val="0042750D"/>
  </w:style>
  <w:style w:type="character" w:styleId="Hyperlink">
    <w:name w:val="Hyperlink"/>
    <w:basedOn w:val="DefaultParagraphFont"/>
    <w:uiPriority w:val="99"/>
    <w:unhideWhenUsed/>
    <w:rsid w:val="001E7C0A"/>
    <w:rPr>
      <w:color w:val="0563C1" w:themeColor="hyperlink"/>
      <w:u w:val="single"/>
    </w:rPr>
  </w:style>
  <w:style w:type="character" w:styleId="UnresolvedMention">
    <w:name w:val="Unresolved Mention"/>
    <w:basedOn w:val="DefaultParagraphFont"/>
    <w:uiPriority w:val="99"/>
    <w:semiHidden/>
    <w:unhideWhenUsed/>
    <w:rsid w:val="001E7C0A"/>
    <w:rPr>
      <w:color w:val="605E5C"/>
      <w:shd w:val="clear" w:color="auto" w:fill="E1DFDD"/>
    </w:rPr>
  </w:style>
  <w:style w:type="character" w:styleId="FollowedHyperlink">
    <w:name w:val="FollowedHyperlink"/>
    <w:basedOn w:val="DefaultParagraphFont"/>
    <w:uiPriority w:val="99"/>
    <w:semiHidden/>
    <w:unhideWhenUsed/>
    <w:rsid w:val="0051025A"/>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F533F2"/>
    <w:rPr>
      <w:b/>
      <w:bCs/>
    </w:rPr>
  </w:style>
  <w:style w:type="character" w:styleId="Emphasis">
    <w:name w:val="Emphasis"/>
    <w:basedOn w:val="DefaultParagraphFont"/>
    <w:uiPriority w:val="20"/>
    <w:qFormat/>
    <w:rsid w:val="00A9060D"/>
    <w:rPr>
      <w:i/>
      <w:iCs/>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350A36"/>
    <w:rPr>
      <w:sz w:val="20"/>
      <w:szCs w:val="20"/>
    </w:rPr>
  </w:style>
  <w:style w:type="character" w:customStyle="1" w:styleId="FootnoteTextChar">
    <w:name w:val="Footnote Text Char"/>
    <w:basedOn w:val="DefaultParagraphFont"/>
    <w:link w:val="FootnoteText"/>
    <w:uiPriority w:val="99"/>
    <w:semiHidden/>
    <w:rsid w:val="00350A36"/>
    <w:rPr>
      <w:sz w:val="20"/>
      <w:szCs w:val="20"/>
    </w:rPr>
  </w:style>
  <w:style w:type="character" w:styleId="FootnoteReference">
    <w:name w:val="footnote reference"/>
    <w:basedOn w:val="DefaultParagraphFont"/>
    <w:uiPriority w:val="99"/>
    <w:semiHidden/>
    <w:unhideWhenUsed/>
    <w:rsid w:val="00350A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3815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77/001316446002000104" TargetMode="External"/><Relationship Id="rId21" Type="http://schemas.openxmlformats.org/officeDocument/2006/relationships/hyperlink" Target="https://bis2017-2020.cultuur.nl/inleiding" TargetMode="External"/><Relationship Id="rId42" Type="http://schemas.openxmlformats.org/officeDocument/2006/relationships/hyperlink" Target="https://doi.org/10.1007/bf01079761" TargetMode="External"/><Relationship Id="rId47" Type="http://schemas.openxmlformats.org/officeDocument/2006/relationships/hyperlink" Target="https://hbr.org/2005/02/should-nonprofits-seek-profits" TargetMode="External"/><Relationship Id="rId63" Type="http://schemas.openxmlformats.org/officeDocument/2006/relationships/hyperlink" Target="https://doi-org.proxy.library.nyu.edu/10.1080/15309576.2023.2168283" TargetMode="External"/><Relationship Id="rId68" Type="http://schemas.openxmlformats.org/officeDocument/2006/relationships/hyperlink" Target="https://issuu.com" TargetMode="External"/><Relationship Id="rId84" Type="http://schemas.openxmlformats.org/officeDocument/2006/relationships/hyperlink" Target="https://catalogue.boekman.nl/pub/P09-056.pdf" TargetMode="External"/><Relationship Id="rId89" Type="http://schemas.openxmlformats.org/officeDocument/2006/relationships/hyperlink" Target="http://www.jstor.org/stable/43589202" TargetMode="External"/><Relationship Id="rId16" Type="http://schemas.openxmlformats.org/officeDocument/2006/relationships/hyperlink" Target="https://doi.org/10.4135/9781848608030.n3" TargetMode="External"/><Relationship Id="rId107"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hyperlink" Target="https://doi.org/10.1002/nml.21411" TargetMode="External"/><Relationship Id="rId37" Type="http://schemas.openxmlformats.org/officeDocument/2006/relationships/hyperlink" Target="http://doi.org/10.1111/j.1540-6210.2004.00353.x" TargetMode="External"/><Relationship Id="rId53" Type="http://schemas.openxmlformats.org/officeDocument/2006/relationships/hyperlink" Target="https://fondspodiumkunsten.nl/nl/subsidies/meerjarige_subsidies/meerjarige_productiesubsidies_20212024/" TargetMode="External"/><Relationship Id="rId58" Type="http://schemas.openxmlformats.org/officeDocument/2006/relationships/hyperlink" Target="https://doi.org/10.1016/j.jbusvent.2013.05.003" TargetMode="External"/><Relationship Id="rId74" Type="http://schemas.openxmlformats.org/officeDocument/2006/relationships/hyperlink" Target="https://doi.org/10.1007/s11846-023-00627-y" TargetMode="External"/><Relationship Id="rId79" Type="http://schemas.openxmlformats.org/officeDocument/2006/relationships/hyperlink" Target="https://www.spettacolodalvivo.beniculturali.it/wp-content/uploads/2021/03/DM-11-febbraio-2021-Riparto-FUS-2021-signed.pdf?utm_source=chatgpt.com" TargetMode="External"/><Relationship Id="rId102" Type="http://schemas.openxmlformats.org/officeDocument/2006/relationships/hyperlink" Target="https://doi.org/10.1007/978-1-4612-2294-1" TargetMode="External"/><Relationship Id="rId5" Type="http://schemas.openxmlformats.org/officeDocument/2006/relationships/settings" Target="settings.xml"/><Relationship Id="rId90" Type="http://schemas.openxmlformats.org/officeDocument/2006/relationships/hyperlink" Target="https://www.r-project.org/" TargetMode="External"/><Relationship Id="rId95" Type="http://schemas.openxmlformats.org/officeDocument/2006/relationships/hyperlink" Target="https://doi.org/10.1016/s0884-0741(04)11005-7" TargetMode="External"/><Relationship Id="rId22" Type="http://schemas.openxmlformats.org/officeDocument/2006/relationships/hyperlink" Target="https://www.raadvoorcultuur.nl/bis-2021-2024/bis-advies-2021-2024" TargetMode="External"/><Relationship Id="rId27" Type="http://schemas.openxmlformats.org/officeDocument/2006/relationships/hyperlink" Target="https://doi.org/10.4314/aipm.v6i1.64038" TargetMode="External"/><Relationship Id="rId43" Type="http://schemas.openxmlformats.org/officeDocument/2006/relationships/hyperlink" Target="https://doi.org/10.1007/bf01079761" TargetMode="External"/><Relationship Id="rId48" Type="http://schemas.openxmlformats.org/officeDocument/2006/relationships/hyperlink" Target="https://fondspodiumkunsten.nl/nl/actueel/nieuws/beschikkingen_meerjarige_activiteitensubsidie_2013_2016/" TargetMode="External"/><Relationship Id="rId64" Type="http://schemas.openxmlformats.org/officeDocument/2006/relationships/hyperlink" Target="https://doi.org/10.1177/2158244019854639" TargetMode="External"/><Relationship Id="rId69" Type="http://schemas.openxmlformats.org/officeDocument/2006/relationships/hyperlink" Target="https://issuu.com" TargetMode="External"/><Relationship Id="rId80" Type="http://schemas.openxmlformats.org/officeDocument/2006/relationships/hyperlink" Target="https://www.spettacolodalvivo.beniculturali.it/wp-content/uploads/2021/03/DM-11-febbraio-2021-Riparto-FUS-2021-signed.pdf" TargetMode="External"/><Relationship Id="rId85" Type="http://schemas.openxmlformats.org/officeDocument/2006/relationships/hyperlink" Target="https://catalogue.boekman.nl/pub/P09-056.pdf" TargetMode="External"/><Relationship Id="rId12" Type="http://schemas.openxmlformats.org/officeDocument/2006/relationships/hyperlink" Target="https://www.amsterdamsfondsvoordekunst.nl/site/assets/files/1430/afk_4jarige_regeling_algemeen.pdf" TargetMode="External"/><Relationship Id="rId17" Type="http://schemas.openxmlformats.org/officeDocument/2006/relationships/hyperlink" Target="https://doi.org/10.4135/9781848608030.n3" TargetMode="External"/><Relationship Id="rId33" Type="http://schemas.openxmlformats.org/officeDocument/2006/relationships/hyperlink" Target="https://doi.org/10.1007/s11266-017-9835-3" TargetMode="External"/><Relationship Id="rId38" Type="http://schemas.openxmlformats.org/officeDocument/2006/relationships/hyperlink" Target="http://doi.org/10.1111/j.1540-6210.2004.00353.x" TargetMode="External"/><Relationship Id="rId59" Type="http://schemas.openxmlformats.org/officeDocument/2006/relationships/hyperlink" Target="https://doi.org/10.1332/204080521X16118348043171" TargetMode="External"/><Relationship Id="rId103" Type="http://schemas.openxmlformats.org/officeDocument/2006/relationships/hyperlink" Target="https://doi.org/10.5860/choice.44-5750" TargetMode="External"/><Relationship Id="rId108" Type="http://schemas.openxmlformats.org/officeDocument/2006/relationships/theme" Target="theme/theme1.xml"/><Relationship Id="rId20" Type="http://schemas.openxmlformats.org/officeDocument/2006/relationships/hyperlink" Target="https://www.raadvoorcultuur.nl/documenten/adviezen/2012/05/01/slagen-in-cultuur-culturele-basisinfrastructuur-2013-2016" TargetMode="External"/><Relationship Id="rId41" Type="http://schemas.openxmlformats.org/officeDocument/2006/relationships/hyperlink" Target="https://doi.org/10.1016/j.poetic.2015.02.004" TargetMode="External"/><Relationship Id="rId54" Type="http://schemas.openxmlformats.org/officeDocument/2006/relationships/hyperlink" Target="https://meerjarigeadviezen.fondspodiumkunsten.nl/inleiding/" TargetMode="External"/><Relationship Id="rId62" Type="http://schemas.openxmlformats.org/officeDocument/2006/relationships/hyperlink" Target="https://doi-org.proxy.library.nyu.edu/10.1080/15309576.2023.2168283" TargetMode="External"/><Relationship Id="rId70" Type="http://schemas.openxmlformats.org/officeDocument/2006/relationships/hyperlink" Target="https://doi.org/10.1007/s10551-020-04446-z" TargetMode="External"/><Relationship Id="rId75" Type="http://schemas.openxmlformats.org/officeDocument/2006/relationships/hyperlink" Target="https://doi.org/10.1007/s11846-023-00627-y" TargetMode="External"/><Relationship Id="rId83" Type="http://schemas.openxmlformats.org/officeDocument/2006/relationships/hyperlink" Target="https://www.cultuursubsidie.nl/documenten/publicaties/2021/11/10/handboek-verantwoording-cultuursubsidies-instellingen-2021-2024" TargetMode="External"/><Relationship Id="rId88" Type="http://schemas.openxmlformats.org/officeDocument/2006/relationships/hyperlink" Target="http://www.jstor.org/stable/43589202" TargetMode="External"/><Relationship Id="rId91" Type="http://schemas.openxmlformats.org/officeDocument/2006/relationships/hyperlink" Target="https://www.arts.gov/impact/research/publications/raising-barre-geographic-financial-and-economic-trends-nonprofit-dance-companies" TargetMode="External"/><Relationship Id="rId96" Type="http://schemas.openxmlformats.org/officeDocument/2006/relationships/hyperlink" Target="https://doi.org/10.1177/08997640910200040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msterdamsfondsvoordekunst.nl/site/assets/files/13749/afk_inleiding_dans_2021-2024.pdf" TargetMode="External"/><Relationship Id="rId23" Type="http://schemas.openxmlformats.org/officeDocument/2006/relationships/hyperlink" Target="https://doi.org/10.1007/s11266-015-9562-6" TargetMode="External"/><Relationship Id="rId28" Type="http://schemas.openxmlformats.org/officeDocument/2006/relationships/hyperlink" Target="https://doi.org/10.4314/aipm.v6i1.64038" TargetMode="External"/><Relationship Id="rId36" Type="http://schemas.openxmlformats.org/officeDocument/2006/relationships/hyperlink" Target="https://doi.org/10.1111/ijmr.12028" TargetMode="External"/><Relationship Id="rId49" Type="http://schemas.openxmlformats.org/officeDocument/2006/relationships/hyperlink" Target="http://www.nfpa.nl/content/subsidieregeling/i_104/FPKhandboek20132016v20140110.pdf" TargetMode="External"/><Relationship Id="rId57" Type="http://schemas.openxmlformats.org/officeDocument/2006/relationships/hyperlink" Target="https://doi.org/10.1007/978-1-4614-3900-4" TargetMode="External"/><Relationship Id="rId106"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https://doi.org/10.1002/nml.21411" TargetMode="External"/><Relationship Id="rId44" Type="http://schemas.openxmlformats.org/officeDocument/2006/relationships/hyperlink" Target="https://doi.org/10.1007/s10824-018-9330-8" TargetMode="External"/><Relationship Id="rId52" Type="http://schemas.openxmlformats.org/officeDocument/2006/relationships/hyperlink" Target="https://fondspodiumkunsten.nl/nl/subsidies/meerjarige_subsidies/meerjarige_productiesubsidies_20212024/" TargetMode="External"/><Relationship Id="rId60" Type="http://schemas.openxmlformats.org/officeDocument/2006/relationships/hyperlink" Target="https://doi.org/10.1177/0899764004263320" TargetMode="External"/><Relationship Id="rId65" Type="http://schemas.openxmlformats.org/officeDocument/2006/relationships/hyperlink" Target="https://doi.org/10.1177/2158244019854639" TargetMode="External"/><Relationship Id="rId73" Type="http://schemas.openxmlformats.org/officeDocument/2006/relationships/hyperlink" Target="https://urldefense.proofpoint.com/v2/url?u=https-3A__doi.org_10.1080_10632921.2019.1617812&amp;d=DwMGaQ&amp;c=slrrB7dE8n7gBJbeO0g-IQ&amp;r=9FiuJunug2IqvvxVg3RnWVPi6uJeoDsAtmSHMzymjvA&amp;m=Zew9_98RmK2jNGIvG42bCSA4sDQZqdIjONubfTNkNG4MqHzeKa-TMFi04ieDaUzB&amp;s=wVmUrczah9UFsPf6z7BPQc12VYAT7CzMOnDi5pwNGcM&amp;e=" TargetMode="External"/><Relationship Id="rId78" Type="http://schemas.openxmlformats.org/officeDocument/2006/relationships/hyperlink" Target="https://www.urban.org/research/publication/nonprofit-sector-brief-public-charities-giving-and-volunteering-2014" TargetMode="External"/><Relationship Id="rId81" Type="http://schemas.openxmlformats.org/officeDocument/2006/relationships/hyperlink" Target="https://www.arts.gov/grants/recent-grants/fy2023" TargetMode="External"/><Relationship Id="rId86" Type="http://schemas.openxmlformats.org/officeDocument/2006/relationships/hyperlink" Target="https://doi.org/10.1177/147078539804000307" TargetMode="External"/><Relationship Id="rId94" Type="http://schemas.openxmlformats.org/officeDocument/2006/relationships/hyperlink" Target="https://doi.org/10.1016/s0884-0741(04)11005-7" TargetMode="External"/><Relationship Id="rId99" Type="http://schemas.openxmlformats.org/officeDocument/2006/relationships/hyperlink" Target="https://doi.org/10.1007/BF02354036" TargetMode="External"/><Relationship Id="rId101" Type="http://schemas.openxmlformats.org/officeDocument/2006/relationships/hyperlink" Target="https://doi.org/10.1007/978-1-4612-2294-1"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amsterdamsfondsvoordekunst.nl/aanvragen/overzicht-subsidies/" TargetMode="External"/><Relationship Id="rId18" Type="http://schemas.openxmlformats.org/officeDocument/2006/relationships/hyperlink" Target="https://canadacouncil.ca/research/stats-and-stories?utm_source=chatgpt.com" TargetMode="External"/><Relationship Id="rId39" Type="http://schemas.openxmlformats.org/officeDocument/2006/relationships/hyperlink" Target="https://www.ednetwork.eu/uploads/documents/63/EDN_Virtualized%20Dance%20Full%20Publication.pdf?utm_source=chatgpt.com" TargetMode="External"/><Relationship Id="rId34" Type="http://schemas.openxmlformats.org/officeDocument/2006/relationships/hyperlink" Target="https://doi.org/10.1007/s11266-017-9835-3" TargetMode="External"/><Relationship Id="rId50" Type="http://schemas.openxmlformats.org/officeDocument/2006/relationships/hyperlink" Target="https://fondspodiumkunsten.nl/files/p/nws.632.fpkmeerjarigeactiviteitenregeling2017202.pdf" TargetMode="External"/><Relationship Id="rId55" Type="http://schemas.openxmlformats.org/officeDocument/2006/relationships/hyperlink" Target="https://doi.org/10.1177/0899764099283002" TargetMode="External"/><Relationship Id="rId76" Type="http://schemas.openxmlformats.org/officeDocument/2006/relationships/hyperlink" Target="https://doi.org/10.5840/iabsproc2018298" TargetMode="External"/><Relationship Id="rId97" Type="http://schemas.openxmlformats.org/officeDocument/2006/relationships/hyperlink" Target="https://doi.org/10.1177/089976409102000407" TargetMode="External"/><Relationship Id="rId10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doi.org/10.1007/s10551-020-04446-z" TargetMode="External"/><Relationship Id="rId92" Type="http://schemas.openxmlformats.org/officeDocument/2006/relationships/hyperlink" Target="https://doi-org.proxy.library.nyu.edu/10.1177/08997640221106979" TargetMode="External"/><Relationship Id="rId2" Type="http://schemas.openxmlformats.org/officeDocument/2006/relationships/customXml" Target="../customXml/item2.xml"/><Relationship Id="rId29" Type="http://schemas.openxmlformats.org/officeDocument/2006/relationships/hyperlink" Target="https://psycnet.apa.org/doi/10.2307/2393031" TargetMode="External"/><Relationship Id="rId24" Type="http://schemas.openxmlformats.org/officeDocument/2006/relationships/hyperlink" Target="https://doi.org/10.1007/s11266-015-9562-6" TargetMode="External"/><Relationship Id="rId40" Type="http://schemas.openxmlformats.org/officeDocument/2006/relationships/hyperlink" Target="https://www.ednetwork.eu/uploads/documents/63/EDN_Virtualized%20Dance%20Full%20Publication.pdf?utm_source=chatgpt.com" TargetMode="External"/><Relationship Id="rId45" Type="http://schemas.openxmlformats.org/officeDocument/2006/relationships/hyperlink" Target="https://doi.org/10.1007/s10824-018-9330-8" TargetMode="External"/><Relationship Id="rId66" Type="http://schemas.openxmlformats.org/officeDocument/2006/relationships/hyperlink" Target="https://doi.org/10.2189/asqu.2009.54.2.268" TargetMode="External"/><Relationship Id="rId87" Type="http://schemas.openxmlformats.org/officeDocument/2006/relationships/hyperlink" Target="https://doi.org/10.1177/147078539804000307" TargetMode="External"/><Relationship Id="rId61" Type="http://schemas.openxmlformats.org/officeDocument/2006/relationships/hyperlink" Target="https://doi.org/10.1177/0899764004263320" TargetMode="External"/><Relationship Id="rId82" Type="http://schemas.openxmlformats.org/officeDocument/2006/relationships/hyperlink" Target="https://www.cultuursubsidie.nl/documenten/publicaties/2015/02/03/handboek-verantwoording-cultuursubsidie-instellingen-2014" TargetMode="External"/><Relationship Id="rId19" Type="http://schemas.openxmlformats.org/officeDocument/2006/relationships/hyperlink" Target="https://canadacouncil.ca/research/stats-and-stories" TargetMode="External"/><Relationship Id="rId14" Type="http://schemas.openxmlformats.org/officeDocument/2006/relationships/hyperlink" Target="https://www.amsterdamsfondsvoordekunst.nl/aanvragen/overzicht-subsidies/" TargetMode="External"/><Relationship Id="rId30" Type="http://schemas.openxmlformats.org/officeDocument/2006/relationships/hyperlink" Target="https://danceusa.s3.us-east-2.amazonaws.com/wp-content/uploads/2021/07/09093823/THE-IMPACT-OF-COVID19-ON-THE-FIELD-OF-DANCE-PART-II-FINAL.pdf" TargetMode="External"/><Relationship Id="rId35" Type="http://schemas.openxmlformats.org/officeDocument/2006/relationships/hyperlink" Target="https://doi.org/10.1111/ijmr.12028" TargetMode="External"/><Relationship Id="rId56" Type="http://schemas.openxmlformats.org/officeDocument/2006/relationships/hyperlink" Target="https://doi.org/10.1177/0899764099283002" TargetMode="External"/><Relationship Id="rId77" Type="http://schemas.openxmlformats.org/officeDocument/2006/relationships/hyperlink" Target="https://www.urban.org/research/publication/nonprofit-sector-brief-public-charities-giving-and-volunteering-2014" TargetMode="External"/><Relationship Id="rId100" Type="http://schemas.openxmlformats.org/officeDocument/2006/relationships/hyperlink" Target="https://doi.org/10.1201/9780429492259" TargetMode="External"/><Relationship Id="rId105"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fondspodiumkunsten.nl/besluiten_meerjarige_subsidies_2025_2028/producties" TargetMode="External"/><Relationship Id="rId72" Type="http://schemas.openxmlformats.org/officeDocument/2006/relationships/hyperlink" Target="https://urldefense.proofpoint.com/v2/url?u=https-3A__doi.org_10.14361_zkmm-2D2015-2D0105&amp;d=DwMGaQ&amp;c=slrrB7dE8n7gBJbeO0g-IQ&amp;r=9FiuJunug2IqvvxVg3RnWVPi6uJeoDsAtmSHMzymjvA&amp;m=Zew9_98RmK2jNGIvG42bCSA4sDQZqdIjONubfTNkNG4MqHzeKa-TMFi04ieDaUzB&amp;s=KimQQdVQHIiklm2ZgEcg8lrAsLF8VGryDj12noFGxqI&amp;e=" TargetMode="External"/><Relationship Id="rId93" Type="http://schemas.openxmlformats.org/officeDocument/2006/relationships/hyperlink" Target="https://doi-org.proxy.library.nyu.edu/10.1177/08997640221106979" TargetMode="External"/><Relationship Id="rId98" Type="http://schemas.openxmlformats.org/officeDocument/2006/relationships/hyperlink" Target="https://doi.org/10.1007/BF02354036" TargetMode="External"/><Relationship Id="rId3" Type="http://schemas.openxmlformats.org/officeDocument/2006/relationships/numbering" Target="numbering.xml"/><Relationship Id="rId25" Type="http://schemas.openxmlformats.org/officeDocument/2006/relationships/hyperlink" Target="https://doi.org/10.1177/001316446002000104" TargetMode="External"/><Relationship Id="rId46" Type="http://schemas.openxmlformats.org/officeDocument/2006/relationships/hyperlink" Target="https://hbr.org/2005/02/should-nonprofits-seek-profits" TargetMode="External"/><Relationship Id="rId67" Type="http://schemas.openxmlformats.org/officeDocument/2006/relationships/hyperlink" Target="https://doi.org/10.2189/asqu.2009.54.2.26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mailto:jamie.levine.daniel@ny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Uq3RynbP5KCFHGfSqelftXMmuw==">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F1BFED-90DC-4454-8123-1337F6881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10990</Words>
  <Characters>62648</Characters>
  <Application>Microsoft Office Word</Application>
  <DocSecurity>0</DocSecurity>
  <Lines>522</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Jamie Levine Daniel</cp:lastModifiedBy>
  <cp:revision>3</cp:revision>
  <dcterms:created xsi:type="dcterms:W3CDTF">2026-01-20T19:43:00Z</dcterms:created>
  <dcterms:modified xsi:type="dcterms:W3CDTF">2026-01-23T19:05:00Z</dcterms:modified>
</cp:coreProperties>
</file>