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14C" w:rsidRDefault="00E4113E">
      <w:pPr>
        <w:spacing w:before="240" w:line="45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Power of Communication: Increasing Patron Engagement Through Outreach and Assessment </w:t>
      </w:r>
    </w:p>
    <w:p w:rsidR="00AA714C" w:rsidRDefault="00E4113E">
      <w:pPr>
        <w:spacing w:before="240" w:line="458"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Mikolaj Wilk</w:t>
      </w:r>
      <w:r>
        <w:rPr>
          <w:rFonts w:ascii="Times New Roman" w:eastAsia="Times New Roman" w:hAnsi="Times New Roman" w:cs="Times New Roman"/>
          <w:i/>
          <w:sz w:val="36"/>
          <w:szCs w:val="36"/>
          <w:vertAlign w:val="superscript"/>
        </w:rPr>
        <w:t>a</w:t>
      </w:r>
      <w:r>
        <w:rPr>
          <w:rFonts w:ascii="Times New Roman" w:eastAsia="Times New Roman" w:hAnsi="Times New Roman" w:cs="Times New Roman"/>
          <w:sz w:val="24"/>
          <w:szCs w:val="24"/>
        </w:rPr>
        <w:t>, Gabriela Garcia</w:t>
      </w:r>
      <w:r>
        <w:rPr>
          <w:rFonts w:ascii="Times New Roman" w:eastAsia="Times New Roman" w:hAnsi="Times New Roman" w:cs="Times New Roman"/>
          <w:i/>
          <w:sz w:val="36"/>
          <w:szCs w:val="36"/>
          <w:vertAlign w:val="superscript"/>
        </w:rPr>
        <w:t>b</w:t>
      </w:r>
      <w:r>
        <w:rPr>
          <w:rFonts w:ascii="Times New Roman" w:eastAsia="Times New Roman" w:hAnsi="Times New Roman" w:cs="Times New Roman"/>
          <w:sz w:val="24"/>
          <w:szCs w:val="24"/>
        </w:rPr>
        <w:t>, Matthew</w:t>
      </w:r>
      <w:bookmarkStart w:id="0" w:name="_GoBack"/>
      <w:bookmarkEnd w:id="0"/>
      <w:r>
        <w:rPr>
          <w:rFonts w:ascii="Times New Roman" w:eastAsia="Times New Roman" w:hAnsi="Times New Roman" w:cs="Times New Roman"/>
          <w:sz w:val="24"/>
          <w:szCs w:val="24"/>
        </w:rPr>
        <w:t xml:space="preserve"> Frenkel, Ph.D.</w:t>
      </w:r>
      <w:r>
        <w:rPr>
          <w:rFonts w:ascii="Times New Roman" w:eastAsia="Times New Roman" w:hAnsi="Times New Roman" w:cs="Times New Roman"/>
          <w:i/>
          <w:sz w:val="36"/>
          <w:szCs w:val="36"/>
          <w:vertAlign w:val="superscript"/>
        </w:rPr>
        <w:t>c</w:t>
      </w:r>
      <w:r>
        <w:rPr>
          <w:rFonts w:ascii="Times New Roman" w:eastAsia="Times New Roman" w:hAnsi="Times New Roman" w:cs="Times New Roman"/>
          <w:sz w:val="24"/>
          <w:szCs w:val="24"/>
        </w:rPr>
        <w:t xml:space="preserve"> , Lindsay Anderberg</w:t>
      </w:r>
      <w:r>
        <w:rPr>
          <w:rFonts w:ascii="Times New Roman" w:eastAsia="Times New Roman" w:hAnsi="Times New Roman" w:cs="Times New Roman"/>
          <w:i/>
          <w:sz w:val="36"/>
          <w:szCs w:val="36"/>
          <w:vertAlign w:val="superscript"/>
        </w:rPr>
        <w:t>d</w:t>
      </w:r>
      <w:r>
        <w:rPr>
          <w:rFonts w:ascii="Times New Roman" w:eastAsia="Times New Roman" w:hAnsi="Times New Roman" w:cs="Times New Roman"/>
          <w:sz w:val="36"/>
          <w:szCs w:val="36"/>
          <w:vertAlign w:val="superscript"/>
        </w:rPr>
        <w:t>*</w:t>
      </w:r>
      <w:r>
        <w:rPr>
          <w:rFonts w:ascii="Times New Roman" w:eastAsia="Times New Roman" w:hAnsi="Times New Roman" w:cs="Times New Roman"/>
          <w:sz w:val="24"/>
          <w:szCs w:val="24"/>
        </w:rPr>
        <w:t xml:space="preserve"> </w:t>
      </w:r>
    </w:p>
    <w:p w:rsidR="00AA714C" w:rsidRDefault="00E4113E">
      <w:pPr>
        <w:spacing w:before="240" w:line="458" w:lineRule="auto"/>
        <w:rPr>
          <w:rFonts w:ascii="Times New Roman" w:eastAsia="Times New Roman" w:hAnsi="Times New Roman" w:cs="Times New Roman"/>
          <w:i/>
          <w:sz w:val="24"/>
          <w:szCs w:val="24"/>
          <w:vertAlign w:val="superscript"/>
        </w:rPr>
      </w:pPr>
      <w:r>
        <w:rPr>
          <w:rFonts w:ascii="Times New Roman" w:eastAsia="Times New Roman" w:hAnsi="Times New Roman" w:cs="Times New Roman"/>
          <w:i/>
          <w:sz w:val="36"/>
          <w:szCs w:val="36"/>
          <w:vertAlign w:val="superscript"/>
        </w:rPr>
        <w:t>a,b,c,d</w:t>
      </w:r>
      <w:r>
        <w:rPr>
          <w:rFonts w:ascii="Times New Roman" w:eastAsia="Times New Roman" w:hAnsi="Times New Roman" w:cs="Times New Roman"/>
          <w:i/>
          <w:sz w:val="24"/>
          <w:szCs w:val="24"/>
        </w:rPr>
        <w:t>Bern Dibner Library, New York University, Brooklyn, New York</w:t>
      </w:r>
    </w:p>
    <w:p w:rsidR="00AA714C" w:rsidRDefault="00E4113E">
      <w:pPr>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i/>
          <w:sz w:val="36"/>
          <w:szCs w:val="36"/>
          <w:vertAlign w:val="superscript"/>
        </w:rPr>
        <w:t>c</w:t>
      </w:r>
      <w:r>
        <w:rPr>
          <w:rFonts w:ascii="Times New Roman" w:eastAsia="Times New Roman" w:hAnsi="Times New Roman" w:cs="Times New Roman"/>
          <w:sz w:val="24"/>
          <w:szCs w:val="24"/>
        </w:rPr>
        <w:t>ORCID: 0000-0002-6883-1105</w:t>
      </w:r>
    </w:p>
    <w:p w:rsidR="00AA714C" w:rsidRDefault="00E4113E">
      <w:pPr>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i/>
          <w:sz w:val="36"/>
          <w:szCs w:val="36"/>
          <w:vertAlign w:val="superscript"/>
        </w:rPr>
        <w:t>d</w:t>
      </w:r>
      <w:r>
        <w:rPr>
          <w:rFonts w:ascii="Times New Roman" w:eastAsia="Times New Roman" w:hAnsi="Times New Roman" w:cs="Times New Roman"/>
          <w:sz w:val="24"/>
          <w:szCs w:val="24"/>
        </w:rPr>
        <w:t>ORCID: 0000-0002-1943-500X</w:t>
      </w:r>
    </w:p>
    <w:p w:rsidR="00AA714C" w:rsidRDefault="00E4113E">
      <w:pPr>
        <w:spacing w:before="240" w:line="392" w:lineRule="auto"/>
        <w:rPr>
          <w:rFonts w:ascii="Times New Roman" w:eastAsia="Times New Roman" w:hAnsi="Times New Roman" w:cs="Times New Roman"/>
          <w:sz w:val="24"/>
          <w:szCs w:val="24"/>
        </w:rPr>
      </w:pPr>
      <w:r>
        <w:rPr>
          <w:rFonts w:ascii="Times New Roman" w:eastAsia="Times New Roman" w:hAnsi="Times New Roman" w:cs="Times New Roman"/>
          <w:sz w:val="40"/>
          <w:szCs w:val="40"/>
          <w:vertAlign w:val="superscript"/>
        </w:rPr>
        <w:t>*</w:t>
      </w:r>
      <w:hyperlink r:id="rId5">
        <w:r>
          <w:rPr>
            <w:rFonts w:ascii="Times New Roman" w:eastAsia="Times New Roman" w:hAnsi="Times New Roman" w:cs="Times New Roman"/>
            <w:color w:val="1155CC"/>
            <w:sz w:val="24"/>
            <w:szCs w:val="24"/>
            <w:u w:val="single"/>
          </w:rPr>
          <w:t>landerberg@nyu.edu</w:t>
        </w:r>
      </w:hyperlink>
      <w:r>
        <w:rPr>
          <w:rFonts w:ascii="Times New Roman" w:eastAsia="Times New Roman" w:hAnsi="Times New Roman" w:cs="Times New Roman"/>
          <w:sz w:val="24"/>
          <w:szCs w:val="24"/>
        </w:rPr>
        <w:t>, 5 MetroTech Center, Brooklyn, NY 11201</w:t>
      </w: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E411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access the published version of this article:</w:t>
      </w:r>
    </w:p>
    <w:p w:rsidR="00E4113E" w:rsidRPr="00E4113E" w:rsidRDefault="00E4113E">
      <w:pPr>
        <w:rPr>
          <w:rFonts w:ascii="Times New Roman" w:eastAsia="Times New Roman" w:hAnsi="Times New Roman" w:cs="Times New Roman"/>
          <w:b/>
          <w:color w:val="000000" w:themeColor="text1"/>
          <w:sz w:val="24"/>
          <w:szCs w:val="24"/>
        </w:rPr>
      </w:pPr>
    </w:p>
    <w:p w:rsidR="00E4113E" w:rsidRPr="00E4113E" w:rsidRDefault="00E4113E" w:rsidP="00E4113E">
      <w:pPr>
        <w:spacing w:line="240" w:lineRule="auto"/>
        <w:rPr>
          <w:rFonts w:ascii="Times New Roman" w:eastAsia="Times New Roman" w:hAnsi="Times New Roman" w:cs="Times New Roman"/>
          <w:color w:val="000000" w:themeColor="text1"/>
          <w:sz w:val="24"/>
          <w:szCs w:val="24"/>
          <w:lang w:val="en-US"/>
        </w:rPr>
      </w:pPr>
      <w:r w:rsidRPr="00E4113E">
        <w:rPr>
          <w:rFonts w:ascii="Times New Roman" w:eastAsia="Times New Roman" w:hAnsi="Times New Roman" w:cs="Times New Roman"/>
          <w:color w:val="000000" w:themeColor="text1"/>
          <w:sz w:val="24"/>
          <w:szCs w:val="24"/>
          <w:shd w:val="clear" w:color="auto" w:fill="FFFFFF"/>
          <w:lang w:val="en-US"/>
        </w:rPr>
        <w:t>Mikolaj Wilk, Gabriela Garcia, Matthew Frenkel &amp; Lindsay Anderberg (2019) The Power of Communication: Increasing Patron Engagement through Outreach and Assessment, Science &amp; Technology Libraries, DOI: </w:t>
      </w:r>
      <w:hyperlink r:id="rId6" w:history="1">
        <w:r w:rsidRPr="00E4113E">
          <w:rPr>
            <w:rFonts w:ascii="Times New Roman" w:eastAsia="Times New Roman" w:hAnsi="Times New Roman" w:cs="Times New Roman"/>
            <w:color w:val="000000" w:themeColor="text1"/>
            <w:sz w:val="24"/>
            <w:szCs w:val="24"/>
            <w:u w:val="single"/>
            <w:lang w:val="en-US"/>
          </w:rPr>
          <w:t>10.1080/0194262X.2019.1659210</w:t>
        </w:r>
      </w:hyperlink>
    </w:p>
    <w:p w:rsidR="00E4113E" w:rsidRDefault="00E4113E">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E411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Power of Communication: Increasing Patron Engagement through Outreach and Assessment</w:t>
      </w:r>
    </w:p>
    <w:p w:rsidR="00AA714C" w:rsidRDefault="00AA714C">
      <w:pPr>
        <w:rPr>
          <w:rFonts w:ascii="Times New Roman" w:eastAsia="Times New Roman" w:hAnsi="Times New Roman" w:cs="Times New Roman"/>
          <w:b/>
          <w:sz w:val="24"/>
          <w:szCs w:val="24"/>
        </w:rPr>
      </w:pPr>
    </w:p>
    <w:p w:rsidR="00AA714C" w:rsidRDefault="00E4113E">
      <w:pPr>
        <w:spacing w:line="360" w:lineRule="auto"/>
        <w:ind w:left="720"/>
        <w:rPr>
          <w:rFonts w:ascii="Times New Roman" w:eastAsia="Times New Roman" w:hAnsi="Times New Roman" w:cs="Times New Roman"/>
        </w:rPr>
      </w:pPr>
      <w:r>
        <w:rPr>
          <w:rFonts w:ascii="Times New Roman" w:eastAsia="Times New Roman" w:hAnsi="Times New Roman" w:cs="Times New Roman"/>
        </w:rPr>
        <w:t>National trends suggest that many library services are under-used due to lack of effective marketing, as opposed to lack of community interest. This paper uses Dibner Library’s instructional workshop program as an example of a low-attendance library offeri</w:t>
      </w:r>
      <w:r>
        <w:rPr>
          <w:rFonts w:ascii="Times New Roman" w:eastAsia="Times New Roman" w:hAnsi="Times New Roman" w:cs="Times New Roman"/>
        </w:rPr>
        <w:t>ng transformed by assessing a number of communication efforts. In order to tailor outreach to Dibner patrons, librarians tracked patron surveys, Bitly clicks across all forms of digital publicity, and registration and attendance statistics. The resulting i</w:t>
      </w:r>
      <w:r>
        <w:rPr>
          <w:rFonts w:ascii="Times New Roman" w:eastAsia="Times New Roman" w:hAnsi="Times New Roman" w:cs="Times New Roman"/>
        </w:rPr>
        <w:t xml:space="preserve">ncrease in engagement shows that customized communication is at the root of successful library programming. </w:t>
      </w:r>
    </w:p>
    <w:p w:rsidR="00AA714C" w:rsidRDefault="00AA714C">
      <w:pPr>
        <w:spacing w:line="360" w:lineRule="auto"/>
        <w:rPr>
          <w:rFonts w:ascii="Times New Roman" w:eastAsia="Times New Roman" w:hAnsi="Times New Roman" w:cs="Times New Roman"/>
        </w:rPr>
      </w:pPr>
    </w:p>
    <w:p w:rsidR="00AA714C" w:rsidRDefault="00E4113E">
      <w:pPr>
        <w:spacing w:line="360" w:lineRule="auto"/>
        <w:ind w:firstLine="720"/>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p>
    <w:p w:rsidR="00AA714C" w:rsidRDefault="00E4113E">
      <w:pPr>
        <w:spacing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rPr>
        <w:t>library marketing; outreach; communication; library analytics; library instruction; library workshops; student engagement</w:t>
      </w:r>
    </w:p>
    <w:p w:rsidR="00AA714C" w:rsidRDefault="00AA714C">
      <w:pPr>
        <w:jc w:val="center"/>
        <w:rPr>
          <w:rFonts w:ascii="Times New Roman" w:eastAsia="Times New Roman" w:hAnsi="Times New Roman" w:cs="Times New Roman"/>
          <w:b/>
          <w:sz w:val="24"/>
          <w:szCs w:val="24"/>
        </w:rPr>
      </w:pPr>
    </w:p>
    <w:p w:rsidR="00AA714C" w:rsidRDefault="00E411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AA714C" w:rsidRDefault="00AA714C">
      <w:pPr>
        <w:rPr>
          <w:rFonts w:ascii="Times New Roman" w:eastAsia="Times New Roman" w:hAnsi="Times New Roman" w:cs="Times New Roman"/>
          <w:sz w:val="24"/>
          <w:szCs w:val="24"/>
        </w:rPr>
      </w:pPr>
    </w:p>
    <w:p w:rsidR="00AA714C" w:rsidRDefault="00E4113E">
      <w:pPr>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course of its history, NYU Tandon School of Engineering has experienced a series of seminal shifts, including several name changes. The school’s last independent name, before the affiliation with NYU, was Polytechnic University (Poly). NYU and P</w:t>
      </w:r>
      <w:r>
        <w:rPr>
          <w:rFonts w:ascii="Times New Roman" w:eastAsia="Times New Roman" w:hAnsi="Times New Roman" w:cs="Times New Roman"/>
          <w:sz w:val="24"/>
          <w:szCs w:val="24"/>
        </w:rPr>
        <w:t>oly officially merged in 2014, and Dibner Library joined the NYU Division of Libraries. For the first two years following this merger, Dibner staff focused on revising and improving all library services by extensively weeding the collection, migrating to N</w:t>
      </w:r>
      <w:r>
        <w:rPr>
          <w:rFonts w:ascii="Times New Roman" w:eastAsia="Times New Roman" w:hAnsi="Times New Roman" w:cs="Times New Roman"/>
          <w:sz w:val="24"/>
          <w:szCs w:val="24"/>
        </w:rPr>
        <w:t>YU’s ILS, and re-evaluating the role of reference services. Moreover, our web services librarian, who managed all of the libraries’ print and digital outreach, left Dibner after the merger. No one was hired in her stead, and multiple librarians absorbed he</w:t>
      </w:r>
      <w:r>
        <w:rPr>
          <w:rFonts w:ascii="Times New Roman" w:eastAsia="Times New Roman" w:hAnsi="Times New Roman" w:cs="Times New Roman"/>
          <w:sz w:val="24"/>
          <w:szCs w:val="24"/>
        </w:rPr>
        <w:t xml:space="preserve">r duties. The Dibner librarians felt that in the midst of all these changes, it was important to stay focused on the library's mission to support the teaching and research needs of the faculty and student body at NYU Tandon. </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Our library workshop program w</w:t>
      </w:r>
      <w:r>
        <w:rPr>
          <w:rFonts w:ascii="Times New Roman" w:eastAsia="Times New Roman" w:hAnsi="Times New Roman" w:cs="Times New Roman"/>
          <w:sz w:val="24"/>
          <w:szCs w:val="24"/>
        </w:rPr>
        <w:t>as a clear place to start: it was already established, so we did not have to create new programming from scratch, and it aligned with our mission and values to teach students transferable skills and get valuable face-to-face time with them to answer questi</w:t>
      </w:r>
      <w:r>
        <w:rPr>
          <w:rFonts w:ascii="Times New Roman" w:eastAsia="Times New Roman" w:hAnsi="Times New Roman" w:cs="Times New Roman"/>
          <w:sz w:val="24"/>
          <w:szCs w:val="24"/>
        </w:rPr>
        <w:t>ons and sharpen their information and data literacy skills. Tackling this issue required dividing outreach work, and a group of three librarians and one staff member self-identified that they were interested in integrating student engagement into their wor</w:t>
      </w:r>
      <w:r>
        <w:rPr>
          <w:rFonts w:ascii="Times New Roman" w:eastAsia="Times New Roman" w:hAnsi="Times New Roman" w:cs="Times New Roman"/>
          <w:sz w:val="24"/>
          <w:szCs w:val="24"/>
        </w:rPr>
        <w:t xml:space="preserve">kloads. A significant component of Dibner’s role in working toward our educational mission was running a series of instructional workshops on topics such as software and research skills. </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Throughout the first year in which Dibner Library became part of the</w:t>
      </w:r>
      <w:r>
        <w:rPr>
          <w:rFonts w:ascii="Times New Roman" w:eastAsia="Times New Roman" w:hAnsi="Times New Roman" w:cs="Times New Roman"/>
          <w:sz w:val="24"/>
          <w:szCs w:val="24"/>
        </w:rPr>
        <w:t xml:space="preserve"> NYU Division of Libraries, librarians noted that use of services had declined, including reference assistance, personal consultations, and workshop attendance. Despite this downward trend, we had anecdotal evidence that our student body still valued our s</w:t>
      </w:r>
      <w:r>
        <w:rPr>
          <w:rFonts w:ascii="Times New Roman" w:eastAsia="Times New Roman" w:hAnsi="Times New Roman" w:cs="Times New Roman"/>
          <w:sz w:val="24"/>
          <w:szCs w:val="24"/>
        </w:rPr>
        <w:t>ervices and believed them to be useful and important. When speaking with librarians in various in-person contexts, students were generally unaware of what we offered, sometimes even suggesting that Dibner Library should offer services that already existed.</w:t>
      </w:r>
      <w:r>
        <w:rPr>
          <w:rFonts w:ascii="Times New Roman" w:eastAsia="Times New Roman" w:hAnsi="Times New Roman" w:cs="Times New Roman"/>
          <w:sz w:val="24"/>
          <w:szCs w:val="24"/>
        </w:rPr>
        <w:t xml:space="preserve"> It was clear from these discussions that we needed to rethink how we communicated with patrons so that they could remain informed about library offerings and take advantage of all that Dibner had to offer.</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exploring possible solutions, we found that we</w:t>
      </w:r>
      <w:r>
        <w:rPr>
          <w:rFonts w:ascii="Times New Roman" w:eastAsia="Times New Roman" w:hAnsi="Times New Roman" w:cs="Times New Roman"/>
          <w:sz w:val="24"/>
          <w:szCs w:val="24"/>
        </w:rPr>
        <w:t xml:space="preserve"> were not alone in dealing with communication difficulties. Due to the increasing availability of electronic library resources, academic libraries have been grappling with declining use of reference services and lack of in-person engagement, a trend that h</w:t>
      </w:r>
      <w:r>
        <w:rPr>
          <w:rFonts w:ascii="Times New Roman" w:eastAsia="Times New Roman" w:hAnsi="Times New Roman" w:cs="Times New Roman"/>
          <w:sz w:val="24"/>
          <w:szCs w:val="24"/>
        </w:rPr>
        <w:t>as been the subject of numerous studies (Zhang, 2019; ACRL 2015; Black 2016). The simplest answer is that a lack of awareness about reference and instructional services pervades the library world (Robinson 2007). In our internal discussions about improving</w:t>
      </w:r>
      <w:r>
        <w:rPr>
          <w:rFonts w:ascii="Times New Roman" w:eastAsia="Times New Roman" w:hAnsi="Times New Roman" w:cs="Times New Roman"/>
          <w:sz w:val="24"/>
          <w:szCs w:val="24"/>
        </w:rPr>
        <w:t xml:space="preserve"> public service, we came face-to-face with the possibility of removing traditional library offerings, given how under-used they were. However, we decided to focus on improving our communication strategy with our patrons before making decisions about shutte</w:t>
      </w:r>
      <w:r>
        <w:rPr>
          <w:rFonts w:ascii="Times New Roman" w:eastAsia="Times New Roman" w:hAnsi="Times New Roman" w:cs="Times New Roman"/>
          <w:sz w:val="24"/>
          <w:szCs w:val="24"/>
        </w:rPr>
        <w:t>ring various reference and instruction services.</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 central question drove our research: how does a library make users aware of its services? Over the years, Dibner has employed numerous methods of publicizing library offerings to the school population, i</w:t>
      </w:r>
      <w:r>
        <w:rPr>
          <w:rFonts w:ascii="Times New Roman" w:eastAsia="Times New Roman" w:hAnsi="Times New Roman" w:cs="Times New Roman"/>
          <w:sz w:val="24"/>
          <w:szCs w:val="24"/>
        </w:rPr>
        <w:t>ncluding personal emails from librarians, online calendar events, flyers, social media posts, and in-library PA announcements.  But which of these methods of communication was most effective at reaching our patrons?  We realized that if we were going to im</w:t>
      </w:r>
      <w:r>
        <w:rPr>
          <w:rFonts w:ascii="Times New Roman" w:eastAsia="Times New Roman" w:hAnsi="Times New Roman" w:cs="Times New Roman"/>
          <w:sz w:val="24"/>
          <w:szCs w:val="24"/>
        </w:rPr>
        <w:t>prove awareness of our services, we first needed to establish how best to communicate with patrons in order to spread awareness about our instructional workshop program.</w:t>
      </w:r>
    </w:p>
    <w:p w:rsidR="00AA714C" w:rsidRDefault="00AA714C">
      <w:pPr>
        <w:ind w:firstLine="720"/>
        <w:rPr>
          <w:rFonts w:ascii="Times New Roman" w:eastAsia="Times New Roman" w:hAnsi="Times New Roman" w:cs="Times New Roman"/>
          <w:sz w:val="24"/>
          <w:szCs w:val="24"/>
        </w:rPr>
      </w:pPr>
    </w:p>
    <w:p w:rsidR="00AA714C" w:rsidRDefault="00E411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AA714C" w:rsidRDefault="00AA714C">
      <w:pPr>
        <w:rPr>
          <w:rFonts w:ascii="Times New Roman" w:eastAsia="Times New Roman" w:hAnsi="Times New Roman" w:cs="Times New Roman"/>
          <w:b/>
          <w:sz w:val="24"/>
          <w:szCs w:val="24"/>
        </w:rPr>
      </w:pPr>
    </w:p>
    <w:p w:rsidR="00AA714C" w:rsidRDefault="00E4113E">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about community engagement at libraries shows a clear tre</w:t>
      </w:r>
      <w:r>
        <w:rPr>
          <w:rFonts w:ascii="Times New Roman" w:eastAsia="Times New Roman" w:hAnsi="Times New Roman" w:cs="Times New Roman"/>
          <w:sz w:val="24"/>
          <w:szCs w:val="24"/>
        </w:rPr>
        <w:t>nd: while most libraries offer services and programming that their patrons find valuable and worthwhile, it is a lack of effective outreach and marketing that keeps attendance down. A 2013 study from Pew Research Center reveals the extent of these systemat</w:t>
      </w:r>
      <w:r>
        <w:rPr>
          <w:rFonts w:ascii="Times New Roman" w:eastAsia="Times New Roman" w:hAnsi="Times New Roman" w:cs="Times New Roman"/>
          <w:sz w:val="24"/>
          <w:szCs w:val="24"/>
        </w:rPr>
        <w:t>ic communication breakdowns, noting that listing events on library websites falls short of the type of digital marketing needed to get patrons’ time and attention, and that a far more expansive, creative strategy is needed to rectify the issue. This commun</w:t>
      </w:r>
      <w:r>
        <w:rPr>
          <w:rFonts w:ascii="Times New Roman" w:eastAsia="Times New Roman" w:hAnsi="Times New Roman" w:cs="Times New Roman"/>
          <w:sz w:val="24"/>
          <w:szCs w:val="24"/>
        </w:rPr>
        <w:t>ication gap goes both ways—focus groups of librarians expressed widespread concern and frustration about not being able to reach library patrons to help them with their projects and meet their needs. These experiences play out in the statistical data, as w</w:t>
      </w:r>
      <w:r>
        <w:rPr>
          <w:rFonts w:ascii="Times New Roman" w:eastAsia="Times New Roman" w:hAnsi="Times New Roman" w:cs="Times New Roman"/>
          <w:sz w:val="24"/>
          <w:szCs w:val="24"/>
        </w:rPr>
        <w:t>ell: 31% of library users said they know “little to nothing” about library offerings, even as 80% of them agreed that library reference services and face-to-face time with library staff were “very important” to them (Zickuhr and Purcell, 2013). Though Zick</w:t>
      </w:r>
      <w:r>
        <w:rPr>
          <w:rFonts w:ascii="Times New Roman" w:eastAsia="Times New Roman" w:hAnsi="Times New Roman" w:cs="Times New Roman"/>
          <w:sz w:val="24"/>
          <w:szCs w:val="24"/>
        </w:rPr>
        <w:t xml:space="preserve">uhr and Purcell focus primarily on public libraries, </w:t>
      </w:r>
      <w:r>
        <w:rPr>
          <w:rFonts w:ascii="Times New Roman" w:eastAsia="Times New Roman" w:hAnsi="Times New Roman" w:cs="Times New Roman"/>
          <w:sz w:val="24"/>
          <w:szCs w:val="24"/>
        </w:rPr>
        <w:lastRenderedPageBreak/>
        <w:t>their data is still highly relevant to understanding how various populations conceive of libraries and the services they provide. Communal interest in libraries remains fairly high, along with a need for</w:t>
      </w:r>
      <w:r>
        <w:rPr>
          <w:rFonts w:ascii="Times New Roman" w:eastAsia="Times New Roman" w:hAnsi="Times New Roman" w:cs="Times New Roman"/>
          <w:sz w:val="24"/>
          <w:szCs w:val="24"/>
        </w:rPr>
        <w:t xml:space="preserve"> better publicity to raise awareness and improve accessibility of programs and in-person reference assistance, which patrons view as essential. A clear trend has unfolded: even with the rise of digital information, most patrons want to attend programming t</w:t>
      </w:r>
      <w:r>
        <w:rPr>
          <w:rFonts w:ascii="Times New Roman" w:eastAsia="Times New Roman" w:hAnsi="Times New Roman" w:cs="Times New Roman"/>
          <w:sz w:val="24"/>
          <w:szCs w:val="24"/>
        </w:rPr>
        <w:t>hat allows them to engage and connect with their librarians, whom they view as facilitators of experience (Thaler et al, 2015).</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literature reveals that reach and frequency are the most telling consumer statistics, and that tracking these componen</w:t>
      </w:r>
      <w:r>
        <w:rPr>
          <w:rFonts w:ascii="Times New Roman" w:eastAsia="Times New Roman" w:hAnsi="Times New Roman" w:cs="Times New Roman"/>
          <w:sz w:val="24"/>
          <w:szCs w:val="24"/>
        </w:rPr>
        <w:t>ts of the user experience leads to greater impact and increased engagement in the long run (Kamin, 1978). Thus, we identified that quantitative assessment would be our main barometer for tracking the status, progress, and success levels of our experimental</w:t>
      </w:r>
      <w:r>
        <w:rPr>
          <w:rFonts w:ascii="Times New Roman" w:eastAsia="Times New Roman" w:hAnsi="Times New Roman" w:cs="Times New Roman"/>
          <w:sz w:val="24"/>
          <w:szCs w:val="24"/>
        </w:rPr>
        <w:t xml:space="preserve"> communication. Click-throughs, ad impressions, unique visitors, and page views have proven to be accurate criteria for measuring user communication effectiveness (Cheong, de Gregorio, and Kim, 2011). Although these metrics are typically used by businesses</w:t>
      </w:r>
      <w:r>
        <w:rPr>
          <w:rFonts w:ascii="Times New Roman" w:eastAsia="Times New Roman" w:hAnsi="Times New Roman" w:cs="Times New Roman"/>
          <w:sz w:val="24"/>
          <w:szCs w:val="24"/>
        </w:rPr>
        <w:t xml:space="preserve"> to maximize profitability and sell products, we adopted them in order to gain a deeper knowledge about how our patrons were approaching our communication attempts and which methods that they responded to best. A particularly effective method of assessment</w:t>
      </w:r>
      <w:r>
        <w:rPr>
          <w:rFonts w:ascii="Times New Roman" w:eastAsia="Times New Roman" w:hAnsi="Times New Roman" w:cs="Times New Roman"/>
          <w:sz w:val="24"/>
          <w:szCs w:val="24"/>
        </w:rPr>
        <w:t xml:space="preserve"> is surveys, which have been used successfully in many library-related studies. (Thompson, 2018; Dennis, 2012).  Surveys allow users to express direct feedback and then watch as incremental changes are made at the library based on their responses. </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Jeffrey</w:t>
      </w:r>
      <w:r>
        <w:rPr>
          <w:rFonts w:ascii="Times New Roman" w:eastAsia="Times New Roman" w:hAnsi="Times New Roman" w:cs="Times New Roman"/>
          <w:sz w:val="24"/>
          <w:szCs w:val="24"/>
        </w:rPr>
        <w:t xml:space="preserve"> Lant’s “rule of seven,” shows that people are unlikely to </w:t>
      </w:r>
      <w:proofErr w:type="gramStart"/>
      <w:r>
        <w:rPr>
          <w:rFonts w:ascii="Times New Roman" w:eastAsia="Times New Roman" w:hAnsi="Times New Roman" w:cs="Times New Roman"/>
          <w:sz w:val="24"/>
          <w:szCs w:val="24"/>
        </w:rPr>
        <w:t>take action</w:t>
      </w:r>
      <w:proofErr w:type="gramEnd"/>
      <w:r>
        <w:rPr>
          <w:rFonts w:ascii="Times New Roman" w:eastAsia="Times New Roman" w:hAnsi="Times New Roman" w:cs="Times New Roman"/>
          <w:sz w:val="24"/>
          <w:szCs w:val="24"/>
        </w:rPr>
        <w:t xml:space="preserve"> or interact with an offering the first time they see or hear about it (Lant, 1989). In order to combat this common roadblock, we turned to cross-media communication methodologies that t</w:t>
      </w:r>
      <w:r>
        <w:rPr>
          <w:rFonts w:ascii="Times New Roman" w:eastAsia="Times New Roman" w:hAnsi="Times New Roman" w:cs="Times New Roman"/>
          <w:sz w:val="24"/>
          <w:szCs w:val="24"/>
        </w:rPr>
        <w:t>arget a population in multiple, unique ways in order to increase the chance of exposure and interaction with our patrons. A dual approach that combines different types of digital marketing is more likely to reach the intended audience than aggressively pur</w:t>
      </w:r>
      <w:r>
        <w:rPr>
          <w:rFonts w:ascii="Times New Roman" w:eastAsia="Times New Roman" w:hAnsi="Times New Roman" w:cs="Times New Roman"/>
          <w:sz w:val="24"/>
          <w:szCs w:val="24"/>
        </w:rPr>
        <w:t>suing one method (Wakolbinger, Denk, and Oberecker, 2009). Effective digital communication formats include email outreach, listserv advertisement, networking, and social media (Harrington and Li, 2001). Online and print marketing can be braided together, a</w:t>
      </w:r>
      <w:r>
        <w:rPr>
          <w:rFonts w:ascii="Times New Roman" w:eastAsia="Times New Roman" w:hAnsi="Times New Roman" w:cs="Times New Roman"/>
          <w:sz w:val="24"/>
          <w:szCs w:val="24"/>
        </w:rPr>
        <w:t xml:space="preserve">nd through careful scheduling and sequencing, have optimal impact (Loda, 2014). Additionally, social media platforms such as Facebook and Twitter have previously been used in academic library outreach and have high potential for reaching patrons. (Ahrony, </w:t>
      </w:r>
      <w:r>
        <w:rPr>
          <w:rFonts w:ascii="Times New Roman" w:eastAsia="Times New Roman" w:hAnsi="Times New Roman" w:cs="Times New Roman"/>
          <w:sz w:val="24"/>
          <w:szCs w:val="24"/>
        </w:rPr>
        <w:t xml:space="preserve">2012) These multimedia approaches create space for libraries to customize communication plans in sync with </w:t>
      </w:r>
      <w:proofErr w:type="gramStart"/>
      <w:r>
        <w:rPr>
          <w:rFonts w:ascii="Times New Roman" w:eastAsia="Times New Roman" w:hAnsi="Times New Roman" w:cs="Times New Roman"/>
          <w:sz w:val="24"/>
          <w:szCs w:val="24"/>
        </w:rPr>
        <w:t>patrons</w:t>
      </w:r>
      <w:proofErr w:type="gramEnd"/>
      <w:r>
        <w:rPr>
          <w:rFonts w:ascii="Times New Roman" w:eastAsia="Times New Roman" w:hAnsi="Times New Roman" w:cs="Times New Roman"/>
          <w:sz w:val="24"/>
          <w:szCs w:val="24"/>
        </w:rPr>
        <w:t xml:space="preserve"> rhythms and needs.</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2016, a study out of Columbia University Libraries showcased the need for new promotional tactics, focusing specificall</w:t>
      </w:r>
      <w:r>
        <w:rPr>
          <w:rFonts w:ascii="Times New Roman" w:eastAsia="Times New Roman" w:hAnsi="Times New Roman" w:cs="Times New Roman"/>
          <w:sz w:val="24"/>
          <w:szCs w:val="24"/>
        </w:rPr>
        <w:t xml:space="preserve">y on the unique needs of engineering students. Their research examines the ways that academic libraries, and science libraries in particular, can take advantage of digital spaces, gaps in the curriculum, and the structure of the academic calendar in order </w:t>
      </w:r>
      <w:r>
        <w:rPr>
          <w:rFonts w:ascii="Times New Roman" w:eastAsia="Times New Roman" w:hAnsi="Times New Roman" w:cs="Times New Roman"/>
          <w:sz w:val="24"/>
          <w:szCs w:val="24"/>
        </w:rPr>
        <w:t>to boost student engagement (Ransom and Wilfong, 2016). The researchers found success marketing workshops and other library news through opt-in email newsletters using MailChimp and were able to assess open rates and clicks within emails. Engineering stude</w:t>
      </w:r>
      <w:r>
        <w:rPr>
          <w:rFonts w:ascii="Times New Roman" w:eastAsia="Times New Roman" w:hAnsi="Times New Roman" w:cs="Times New Roman"/>
          <w:sz w:val="24"/>
          <w:szCs w:val="24"/>
        </w:rPr>
        <w:t xml:space="preserve">nts are often early adopters of new technologies, which means that they are an ideal population with which to try out different modes of outreach and reference (Torrence, 2015). Bishop and Owens of University </w:t>
      </w:r>
      <w:r>
        <w:rPr>
          <w:rFonts w:ascii="Times New Roman" w:eastAsia="Times New Roman" w:hAnsi="Times New Roman" w:cs="Times New Roman"/>
          <w:sz w:val="24"/>
          <w:szCs w:val="24"/>
        </w:rPr>
        <w:lastRenderedPageBreak/>
        <w:t>of Nebraska suggest cultivating a “culture of y</w:t>
      </w:r>
      <w:r>
        <w:rPr>
          <w:rFonts w:ascii="Times New Roman" w:eastAsia="Times New Roman" w:hAnsi="Times New Roman" w:cs="Times New Roman"/>
          <w:sz w:val="24"/>
          <w:szCs w:val="24"/>
        </w:rPr>
        <w:t>es” when it comes to trying out different engagement methods in order to make space for experimental communication with students, as long as the approaches are contextualized by clear goals and tracking methods to determine what works (Bishop and Owens, 20</w:t>
      </w:r>
      <w:r>
        <w:rPr>
          <w:rFonts w:ascii="Times New Roman" w:eastAsia="Times New Roman" w:hAnsi="Times New Roman" w:cs="Times New Roman"/>
          <w:sz w:val="24"/>
          <w:szCs w:val="24"/>
        </w:rPr>
        <w:t>18).</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ever-changing role of library faculty and staff means that marketing and communication responsibilities are now integrated into existing workloads, and it is important to make these changes manageable. The best way to prevent employees from feelin</w:t>
      </w:r>
      <w:r>
        <w:rPr>
          <w:rFonts w:ascii="Times New Roman" w:eastAsia="Times New Roman" w:hAnsi="Times New Roman" w:cs="Times New Roman"/>
          <w:sz w:val="24"/>
          <w:szCs w:val="24"/>
        </w:rPr>
        <w:t>g overwhelmed is to emphasize that they do not have to have a deep expertise in patron engagement in order to fold aspects of it into their current instruction and programming efforts (Johnson, 2018). University of Minnesota libraries suggests that leaders</w:t>
      </w:r>
      <w:r>
        <w:rPr>
          <w:rFonts w:ascii="Times New Roman" w:eastAsia="Times New Roman" w:hAnsi="Times New Roman" w:cs="Times New Roman"/>
          <w:sz w:val="24"/>
          <w:szCs w:val="24"/>
        </w:rPr>
        <w:t xml:space="preserve">hip draft a clear understanding of how the library plans to approach new goals so that all employees know where their efforts can be leveraged most effectively. In addition to focusing on communicating with patrons, it is equally important for faculty and </w:t>
      </w:r>
      <w:r>
        <w:rPr>
          <w:rFonts w:ascii="Times New Roman" w:eastAsia="Times New Roman" w:hAnsi="Times New Roman" w:cs="Times New Roman"/>
          <w:sz w:val="24"/>
          <w:szCs w:val="24"/>
        </w:rPr>
        <w:t>staff to communicate amongst one another. Whether new roles are being created or current ones are being expanded, it is essential for everyone to know what their responsibilities are within the publicity and engagement structure and how they will be expect</w:t>
      </w:r>
      <w:r>
        <w:rPr>
          <w:rFonts w:ascii="Times New Roman" w:eastAsia="Times New Roman" w:hAnsi="Times New Roman" w:cs="Times New Roman"/>
          <w:sz w:val="24"/>
          <w:szCs w:val="24"/>
        </w:rPr>
        <w:t>ed to participate (Whatley, 2009).</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maximize contact with library users, specifically in the context of academic science libraries, it is essential to create a structured outreach plan that tracks digital interaction and tailors programming to t</w:t>
      </w:r>
      <w:r>
        <w:rPr>
          <w:rFonts w:ascii="Times New Roman" w:eastAsia="Times New Roman" w:hAnsi="Times New Roman" w:cs="Times New Roman"/>
          <w:sz w:val="24"/>
          <w:szCs w:val="24"/>
        </w:rPr>
        <w:t>he unique scheduling needs of the student population to increase attendance. Given that 80% of American library patrons deeply value in-person library services, reference workshops offered face-to-face can play an immensely important role in the patron exp</w:t>
      </w:r>
      <w:r>
        <w:rPr>
          <w:rFonts w:ascii="Times New Roman" w:eastAsia="Times New Roman" w:hAnsi="Times New Roman" w:cs="Times New Roman"/>
          <w:sz w:val="24"/>
          <w:szCs w:val="24"/>
        </w:rPr>
        <w:t xml:space="preserve">erience and can allow libraries to have greater positive impact on the people they serve (Zickuhr and Purcell, 2013). In their research on community engagement, the Online Computer Library Center encourages libraries to build on the valuable relationships </w:t>
      </w:r>
      <w:r>
        <w:rPr>
          <w:rFonts w:ascii="Times New Roman" w:eastAsia="Times New Roman" w:hAnsi="Times New Roman" w:cs="Times New Roman"/>
          <w:sz w:val="24"/>
          <w:szCs w:val="24"/>
        </w:rPr>
        <w:t>between students and library faculty and staff. Given that information access is a solo endeavor for most patrons in the age of Google and Wikipedia, it is crucial for libraries to take advantage of the demand for offline experiences and events, even if th</w:t>
      </w:r>
      <w:r>
        <w:rPr>
          <w:rFonts w:ascii="Times New Roman" w:eastAsia="Times New Roman" w:hAnsi="Times New Roman" w:cs="Times New Roman"/>
          <w:sz w:val="24"/>
          <w:szCs w:val="24"/>
        </w:rPr>
        <w:t>ey are marketed digitally (Connoway, 2015). If communication with library patrons remains consistent, customized, well-researched, and utilizes cross-media marketing, engagement will follow.</w:t>
      </w:r>
    </w:p>
    <w:p w:rsidR="00AA714C" w:rsidRDefault="00AA714C">
      <w:pPr>
        <w:ind w:firstLine="720"/>
        <w:rPr>
          <w:rFonts w:ascii="Times New Roman" w:eastAsia="Times New Roman" w:hAnsi="Times New Roman" w:cs="Times New Roman"/>
          <w:sz w:val="24"/>
          <w:szCs w:val="24"/>
        </w:rPr>
      </w:pPr>
    </w:p>
    <w:p w:rsidR="00AA714C" w:rsidRDefault="00E411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AA714C" w:rsidRDefault="00AA714C">
      <w:pPr>
        <w:rPr>
          <w:rFonts w:ascii="Times New Roman" w:eastAsia="Times New Roman" w:hAnsi="Times New Roman" w:cs="Times New Roman"/>
          <w:b/>
          <w:sz w:val="24"/>
          <w:szCs w:val="24"/>
        </w:rPr>
      </w:pPr>
    </w:p>
    <w:p w:rsidR="00AA714C" w:rsidRDefault="00E411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objective of this study was to determine the most effective methods of communication for library workshops. Our approach to communication was two-fold, and was comprised of library outreach efforts and patron feedback. We designed our methodology with </w:t>
      </w:r>
      <w:r>
        <w:rPr>
          <w:rFonts w:ascii="Times New Roman" w:eastAsia="Times New Roman" w:hAnsi="Times New Roman" w:cs="Times New Roman"/>
          <w:sz w:val="24"/>
          <w:szCs w:val="24"/>
        </w:rPr>
        <w:t>the goal of using communication as a vessel to keep patrons informed, thus achieving increased attendance, which was our main measure of success. Current enrollment at NYU Tandon is 5,331 (NYU Tandon, 2018) and total enrollment throughout all NYU schools i</w:t>
      </w:r>
      <w:r>
        <w:rPr>
          <w:rFonts w:ascii="Times New Roman" w:eastAsia="Times New Roman" w:hAnsi="Times New Roman" w:cs="Times New Roman"/>
          <w:sz w:val="24"/>
          <w:szCs w:val="24"/>
        </w:rPr>
        <w:t>s 60,513 (NYU, 2018).</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Dibner conducted outreach through various media: TV screens, digital calendars (NYU Libraries LibCal and School of Engineering events calendar), flyers throughout the School of Engineering buildings, BluuBeam (a beacon-based bluetooth</w:t>
      </w:r>
      <w:r>
        <w:rPr>
          <w:rFonts w:ascii="Times New Roman" w:eastAsia="Times New Roman" w:hAnsi="Times New Roman" w:cs="Times New Roman"/>
          <w:sz w:val="24"/>
          <w:szCs w:val="24"/>
        </w:rPr>
        <w:t xml:space="preserve"> messaging app), email, social media (Facebook and Twitter), a LibGuide page, Dibner Library website, Dibner Library room </w:t>
      </w:r>
      <w:r>
        <w:rPr>
          <w:rFonts w:ascii="Times New Roman" w:eastAsia="Times New Roman" w:hAnsi="Times New Roman" w:cs="Times New Roman"/>
          <w:sz w:val="24"/>
          <w:szCs w:val="24"/>
        </w:rPr>
        <w:lastRenderedPageBreak/>
        <w:t>reservation page, PA announcements, and word-of-mouth. For both digital and print outreach, Dibner relied on the free hyperlinking sho</w:t>
      </w:r>
      <w:r>
        <w:rPr>
          <w:rFonts w:ascii="Times New Roman" w:eastAsia="Times New Roman" w:hAnsi="Times New Roman" w:cs="Times New Roman"/>
          <w:sz w:val="24"/>
          <w:szCs w:val="24"/>
        </w:rPr>
        <w:t>rtener Bitly to track user clicks. Unique Bitly links allowed us to track which media patrons were using to view and register for workshops. This data was accessible through the Bitly website. All Bitly links ultimately directed users to the NYU LibCal reg</w:t>
      </w:r>
      <w:r>
        <w:rPr>
          <w:rFonts w:ascii="Times New Roman" w:eastAsia="Times New Roman" w:hAnsi="Times New Roman" w:cs="Times New Roman"/>
          <w:sz w:val="24"/>
          <w:szCs w:val="24"/>
        </w:rPr>
        <w:t xml:space="preserve">istration page for the specified workshop. </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measure the impact of methods that could not be tracked using Bitly (word-of-mouth and PA announcements) as well as receive feedback from patrons about all methods, we issued paper surveys to attendee</w:t>
      </w:r>
      <w:r>
        <w:rPr>
          <w:rFonts w:ascii="Times New Roman" w:eastAsia="Times New Roman" w:hAnsi="Times New Roman" w:cs="Times New Roman"/>
          <w:sz w:val="24"/>
          <w:szCs w:val="24"/>
        </w:rPr>
        <w:t xml:space="preserve">s at each workshop. We submitted these surveys to the NYU Institutional Review Board, and they were deemed exempt from review. We collected registration numbers via LibCal and recorded attendance numbers using a sign-in sheet at each workshop administered </w:t>
      </w:r>
      <w:r>
        <w:rPr>
          <w:rFonts w:ascii="Times New Roman" w:eastAsia="Times New Roman" w:hAnsi="Times New Roman" w:cs="Times New Roman"/>
          <w:sz w:val="24"/>
          <w:szCs w:val="24"/>
        </w:rPr>
        <w:t>by a library staff member. Based on these measurements, we will refer to three different levels of impact our outreach methods had on patrons throughout this paper. The first level is “reach,” which refers to a Bitly link click. The next level is “interest</w:t>
      </w:r>
      <w:r>
        <w:rPr>
          <w:rFonts w:ascii="Times New Roman" w:eastAsia="Times New Roman" w:hAnsi="Times New Roman" w:cs="Times New Roman"/>
          <w:sz w:val="24"/>
          <w:szCs w:val="24"/>
        </w:rPr>
        <w:t xml:space="preserve">,” which refers to a patron registering for a workshop. The third level is “engagement,” which refers to a patron attending the workshop. </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took place over the course of four academic semesters, starting in the spring of 2016 and concluding in th</w:t>
      </w:r>
      <w:r>
        <w:rPr>
          <w:rFonts w:ascii="Times New Roman" w:eastAsia="Times New Roman" w:hAnsi="Times New Roman" w:cs="Times New Roman"/>
          <w:sz w:val="24"/>
          <w:szCs w:val="24"/>
        </w:rPr>
        <w:t>e fall of 2017. At the end of each semester, we analyzed the data and took steps to refine both our outreach and feedback approaches. Some of our methodology changed due to circumstances outside our control. These variables occasionally made it more diffic</w:t>
      </w:r>
      <w:r>
        <w:rPr>
          <w:rFonts w:ascii="Times New Roman" w:eastAsia="Times New Roman" w:hAnsi="Times New Roman" w:cs="Times New Roman"/>
          <w:sz w:val="24"/>
          <w:szCs w:val="24"/>
        </w:rPr>
        <w:t>ult to measure our impact. The following is a more detailed explanation of how we utilized our communication methods during each semester and how and why changes were made.</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At the beginning of the study in spring 2016, we established several methods of out</w:t>
      </w:r>
      <w:r>
        <w:rPr>
          <w:rFonts w:ascii="Times New Roman" w:eastAsia="Times New Roman" w:hAnsi="Times New Roman" w:cs="Times New Roman"/>
          <w:sz w:val="24"/>
          <w:szCs w:val="24"/>
        </w:rPr>
        <w:t>reach. We scheduled 13 workshops for the semester, one for each week and broke down responsibilities among three librarians and one staff member. One librarian was responsible for creating weekly digital content: emails, blog posts, calendar postings and L</w:t>
      </w:r>
      <w:r>
        <w:rPr>
          <w:rFonts w:ascii="Times New Roman" w:eastAsia="Times New Roman" w:hAnsi="Times New Roman" w:cs="Times New Roman"/>
          <w:sz w:val="24"/>
          <w:szCs w:val="24"/>
        </w:rPr>
        <w:t>ibGuide, each containing a unique Bitly. A weekly email (See appendix 1) containing a short workshop description was sent to a professor, who then emailed all graduate students. A linked image to each blog post appeared on the Dibner Library website homepa</w:t>
      </w:r>
      <w:r>
        <w:rPr>
          <w:rFonts w:ascii="Times New Roman" w:eastAsia="Times New Roman" w:hAnsi="Times New Roman" w:cs="Times New Roman"/>
          <w:sz w:val="24"/>
          <w:szCs w:val="24"/>
        </w:rPr>
        <w:t xml:space="preserve">ge. A Tandon School of Engineering calendar event posting for the upcoming workshop appeared approximately one week prior to the workshop, while a LibGuide listing all workshops for the semester was updated weekly. Another librarian was responsible weekly </w:t>
      </w:r>
      <w:r>
        <w:rPr>
          <w:rFonts w:ascii="Times New Roman" w:eastAsia="Times New Roman" w:hAnsi="Times New Roman" w:cs="Times New Roman"/>
          <w:sz w:val="24"/>
          <w:szCs w:val="24"/>
        </w:rPr>
        <w:t>flyers with an image, description, and unique Bitly. These flyers were posted in and outside the cafeteria, in the library building lobby, and within departments in places with the most student traffic. A third librarian was responsible for social media an</w:t>
      </w:r>
      <w:r>
        <w:rPr>
          <w:rFonts w:ascii="Times New Roman" w:eastAsia="Times New Roman" w:hAnsi="Times New Roman" w:cs="Times New Roman"/>
          <w:sz w:val="24"/>
          <w:szCs w:val="24"/>
        </w:rPr>
        <w:t>d the TV screen in the library. Two days prior to each workshop, a description was posted to Facebook and then posted again on the day of the workshop. These posts were mirrored on Dibner’s Twitter account. Each week a presentation slide with the current w</w:t>
      </w:r>
      <w:r>
        <w:rPr>
          <w:rFonts w:ascii="Times New Roman" w:eastAsia="Times New Roman" w:hAnsi="Times New Roman" w:cs="Times New Roman"/>
          <w:sz w:val="24"/>
          <w:szCs w:val="24"/>
        </w:rPr>
        <w:t>eek’s workshop information and a unique Bitly ran on the library’s TV screen, located in the atrium. A staff member was responsible for running the Bluu Beam application message. Patrons who had downloaded the bluetooth-enabled phone application received t</w:t>
      </w:r>
      <w:r>
        <w:rPr>
          <w:rFonts w:ascii="Times New Roman" w:eastAsia="Times New Roman" w:hAnsi="Times New Roman" w:cs="Times New Roman"/>
          <w:sz w:val="24"/>
          <w:szCs w:val="24"/>
        </w:rPr>
        <w:t xml:space="preserve">hese messages when walking close enough to the beacons in the library. Finally, a library PA announcement was made about 5-10 minutes prior to each workshop by the circulation desk manager. A </w:t>
      </w:r>
      <w:proofErr w:type="gramStart"/>
      <w:r>
        <w:rPr>
          <w:rFonts w:ascii="Times New Roman" w:eastAsia="Times New Roman" w:hAnsi="Times New Roman" w:cs="Times New Roman"/>
          <w:sz w:val="24"/>
          <w:szCs w:val="24"/>
        </w:rPr>
        <w:t>librarian maintained</w:t>
      </w:r>
      <w:proofErr w:type="gramEnd"/>
      <w:r>
        <w:rPr>
          <w:rFonts w:ascii="Times New Roman" w:eastAsia="Times New Roman" w:hAnsi="Times New Roman" w:cs="Times New Roman"/>
          <w:sz w:val="24"/>
          <w:szCs w:val="24"/>
        </w:rPr>
        <w:t xml:space="preserve"> sign-in sheets and administered paper surve</w:t>
      </w:r>
      <w:r>
        <w:rPr>
          <w:rFonts w:ascii="Times New Roman" w:eastAsia="Times New Roman" w:hAnsi="Times New Roman" w:cs="Times New Roman"/>
          <w:sz w:val="24"/>
          <w:szCs w:val="24"/>
        </w:rPr>
        <w:t>ys to attendees.</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fall of 2016, we chose to make several changes to our outreach methods. At this point during the year, the library hired a new staff member who became mainly responsible for all print and digital content except social media. Therefore, we chose to o</w:t>
      </w:r>
      <w:r>
        <w:rPr>
          <w:rFonts w:ascii="Times New Roman" w:eastAsia="Times New Roman" w:hAnsi="Times New Roman" w:cs="Times New Roman"/>
          <w:sz w:val="24"/>
          <w:szCs w:val="24"/>
        </w:rPr>
        <w:t>ffer more workshops, totaling 23 for the semester. In order to market this fuller schedule, we facilitated email blasts to be sent out every two weeks and we began to use three different channels. Email 1 was sent to all graduate students using the same me</w:t>
      </w:r>
      <w:r>
        <w:rPr>
          <w:rFonts w:ascii="Times New Roman" w:eastAsia="Times New Roman" w:hAnsi="Times New Roman" w:cs="Times New Roman"/>
          <w:sz w:val="24"/>
          <w:szCs w:val="24"/>
        </w:rPr>
        <w:t>thodology as the prior semester. Email 2 was sent to all students who had signed up for a library Mailchimp email list. Email 3 was sent by liaison librarians to their respective departments requesting that administrators and professors pass on the email t</w:t>
      </w:r>
      <w:r>
        <w:rPr>
          <w:rFonts w:ascii="Times New Roman" w:eastAsia="Times New Roman" w:hAnsi="Times New Roman" w:cs="Times New Roman"/>
          <w:sz w:val="24"/>
          <w:szCs w:val="24"/>
        </w:rPr>
        <w:t xml:space="preserve">o their students. Each of these three emails had unique Bitly links so that we could study the differences (See appendix 1). </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summer 2016, NYU Libraries adopted the Dibner Library website and made it into a single webpage. On this new page, blog post li</w:t>
      </w:r>
      <w:r>
        <w:rPr>
          <w:rFonts w:ascii="Times New Roman" w:eastAsia="Times New Roman" w:hAnsi="Times New Roman" w:cs="Times New Roman"/>
          <w:sz w:val="24"/>
          <w:szCs w:val="24"/>
        </w:rPr>
        <w:t>nks were located at the bottom of the Dibner library sub-page, but the content and frequency of blog postings remained unchanged from spring 2016. In an attempt to offset the low visibility of the blog posts on the new site, we put a Bitly hyperlink to the</w:t>
      </w:r>
      <w:r>
        <w:rPr>
          <w:rFonts w:ascii="Times New Roman" w:eastAsia="Times New Roman" w:hAnsi="Times New Roman" w:cs="Times New Roman"/>
          <w:sz w:val="24"/>
          <w:szCs w:val="24"/>
        </w:rPr>
        <w:t xml:space="preserve"> workshops LibGuide further up on the web page. The LibGuide was updated 2-3 weeks prior to each workshop as well as the School of Engineering event calendar. In order to publicize more topics at one time, we created a more efficient flyer marketing scheme</w:t>
      </w:r>
      <w:r>
        <w:rPr>
          <w:rFonts w:ascii="Times New Roman" w:eastAsia="Times New Roman" w:hAnsi="Times New Roman" w:cs="Times New Roman"/>
          <w:sz w:val="24"/>
          <w:szCs w:val="24"/>
        </w:rPr>
        <w:t xml:space="preserve"> that did not require hanging flyers on a weekly basis. Instead, we hung flyers at the beginning of the semester that included a listing of all the workshops for that semester. We felt this was more effective than only featuring one workshop each week, sin</w:t>
      </w:r>
      <w:r>
        <w:rPr>
          <w:rFonts w:ascii="Times New Roman" w:eastAsia="Times New Roman" w:hAnsi="Times New Roman" w:cs="Times New Roman"/>
          <w:sz w:val="24"/>
          <w:szCs w:val="24"/>
        </w:rPr>
        <w:t>ce patrons may have been interested in other topics. We applied this same strategy to our TV screen, which displayed the semester-long schedule for our many different workshop topics. Furthermore, during fall welcome week we created print bookmarks which h</w:t>
      </w:r>
      <w:r>
        <w:rPr>
          <w:rFonts w:ascii="Times New Roman" w:eastAsia="Times New Roman" w:hAnsi="Times New Roman" w:cs="Times New Roman"/>
          <w:sz w:val="24"/>
          <w:szCs w:val="24"/>
        </w:rPr>
        <w:t xml:space="preserve">ad the workshop schedule for that semester. Our social media, PA announcements, and surveys were unchanged from the prior semester. BluuBeam was discontinued due to lack of use in the prior semester. </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spring 2017, we offered 26 workshops and made a </w:t>
      </w:r>
      <w:r>
        <w:rPr>
          <w:rFonts w:ascii="Times New Roman" w:eastAsia="Times New Roman" w:hAnsi="Times New Roman" w:cs="Times New Roman"/>
          <w:sz w:val="24"/>
          <w:szCs w:val="24"/>
        </w:rPr>
        <w:t>few other changes and refinements. Since NYU Tandon changed its policy on mass emails, and the professor from the previous two semesters was no longer able to forward our emails, we now relied on NYU Tandon’s IT department to send biweekly emails to gradua</w:t>
      </w:r>
      <w:r>
        <w:rPr>
          <w:rFonts w:ascii="Times New Roman" w:eastAsia="Times New Roman" w:hAnsi="Times New Roman" w:cs="Times New Roman"/>
          <w:sz w:val="24"/>
          <w:szCs w:val="24"/>
        </w:rPr>
        <w:t>te students. Email 2 and 3 were unchanged except that our Mailchimp subscribers had grown throughout the fall. Our LibGuide and School of Engineering calendar posts remained the same, aside from making all of our Bitly links clickable at the start of the s</w:t>
      </w:r>
      <w:r>
        <w:rPr>
          <w:rFonts w:ascii="Times New Roman" w:eastAsia="Times New Roman" w:hAnsi="Times New Roman" w:cs="Times New Roman"/>
          <w:sz w:val="24"/>
          <w:szCs w:val="24"/>
        </w:rPr>
        <w:t xml:space="preserve">emester so that patrons could access all the information about our workshops at any point. Our blog posts, social media, TV screen, and PA announcements were all unchanged. Our print flyers were also unchanged, except that we included large posters of the </w:t>
      </w:r>
      <w:r>
        <w:rPr>
          <w:rFonts w:ascii="Times New Roman" w:eastAsia="Times New Roman" w:hAnsi="Times New Roman" w:cs="Times New Roman"/>
          <w:sz w:val="24"/>
          <w:szCs w:val="24"/>
        </w:rPr>
        <w:t xml:space="preserve">workshop schedule for the semester and posted more of the flyers around the library. After tracking patron </w:t>
      </w:r>
      <w:proofErr w:type="gramStart"/>
      <w:r>
        <w:rPr>
          <w:rFonts w:ascii="Times New Roman" w:eastAsia="Times New Roman" w:hAnsi="Times New Roman" w:cs="Times New Roman"/>
          <w:sz w:val="24"/>
          <w:szCs w:val="24"/>
        </w:rPr>
        <w:t>responses</w:t>
      </w:r>
      <w:proofErr w:type="gramEnd"/>
      <w:r>
        <w:rPr>
          <w:rFonts w:ascii="Times New Roman" w:eastAsia="Times New Roman" w:hAnsi="Times New Roman" w:cs="Times New Roman"/>
          <w:sz w:val="24"/>
          <w:szCs w:val="24"/>
        </w:rPr>
        <w:t xml:space="preserve"> the previous two semesters, we revised our survey questions to solicit patron feedback about our new email scheme. In order to better under</w:t>
      </w:r>
      <w:r>
        <w:rPr>
          <w:rFonts w:ascii="Times New Roman" w:eastAsia="Times New Roman" w:hAnsi="Times New Roman" w:cs="Times New Roman"/>
          <w:sz w:val="24"/>
          <w:szCs w:val="24"/>
        </w:rPr>
        <w:t xml:space="preserve">stand how patrons preferred to be reached, we also added a question asking how they would like to hear about workshops. </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fall 2017, we offered 25 workshops. Our marketing approaches were all working well and yielding the feedback and results that we we</w:t>
      </w:r>
      <w:r>
        <w:rPr>
          <w:rFonts w:ascii="Times New Roman" w:eastAsia="Times New Roman" w:hAnsi="Times New Roman" w:cs="Times New Roman"/>
          <w:sz w:val="24"/>
          <w:szCs w:val="24"/>
        </w:rPr>
        <w:t xml:space="preserve">re seeking. Therefore, the only significant change we made was eliminating our Mailchimp emails. Our reasons for this were two-fold: the </w:t>
      </w:r>
      <w:r>
        <w:rPr>
          <w:rFonts w:ascii="Times New Roman" w:eastAsia="Times New Roman" w:hAnsi="Times New Roman" w:cs="Times New Roman"/>
          <w:sz w:val="24"/>
          <w:szCs w:val="24"/>
        </w:rPr>
        <w:lastRenderedPageBreak/>
        <w:t>Mailchimp emails were the least successful out of our three email channels, and we wanted to avoid redundancy and over-</w:t>
      </w:r>
      <w:r>
        <w:rPr>
          <w:rFonts w:ascii="Times New Roman" w:eastAsia="Times New Roman" w:hAnsi="Times New Roman" w:cs="Times New Roman"/>
          <w:sz w:val="24"/>
          <w:szCs w:val="24"/>
        </w:rPr>
        <w:t xml:space="preserve">marketing. More information about this refinement is provided in the Results and Discussion section of this paper. </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nature of our study meant that there were significant variables, some of which were out of our control, such as changes to university-wi</w:t>
      </w:r>
      <w:r>
        <w:rPr>
          <w:rFonts w:ascii="Times New Roman" w:eastAsia="Times New Roman" w:hAnsi="Times New Roman" w:cs="Times New Roman"/>
          <w:sz w:val="24"/>
          <w:szCs w:val="24"/>
        </w:rPr>
        <w:t>de policies. Our methodology was ever-changing in an effort to adapt to what we saw our patrons responding to. Our refinements were largely practical and proactive, and though they did not adhere to a rigorous research protocol, we did utilize a consistent</w:t>
      </w:r>
      <w:r>
        <w:rPr>
          <w:rFonts w:ascii="Times New Roman" w:eastAsia="Times New Roman" w:hAnsi="Times New Roman" w:cs="Times New Roman"/>
          <w:sz w:val="24"/>
          <w:szCs w:val="24"/>
        </w:rPr>
        <w:t xml:space="preserve"> structure. </w:t>
      </w:r>
    </w:p>
    <w:p w:rsidR="00AA714C" w:rsidRDefault="00AA714C">
      <w:pPr>
        <w:ind w:firstLine="720"/>
        <w:rPr>
          <w:rFonts w:ascii="Times New Roman" w:eastAsia="Times New Roman" w:hAnsi="Times New Roman" w:cs="Times New Roman"/>
          <w:sz w:val="24"/>
          <w:szCs w:val="24"/>
        </w:rPr>
      </w:pPr>
    </w:p>
    <w:p w:rsidR="00AA714C" w:rsidRDefault="00E411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rsidR="00AA714C" w:rsidRDefault="00AA714C">
      <w:pPr>
        <w:rPr>
          <w:rFonts w:ascii="Times New Roman" w:eastAsia="Times New Roman" w:hAnsi="Times New Roman" w:cs="Times New Roman"/>
          <w:sz w:val="24"/>
          <w:szCs w:val="24"/>
        </w:rPr>
      </w:pPr>
    </w:p>
    <w:p w:rsidR="00AA714C" w:rsidRDefault="00E4113E">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This section will be broken down into three parts. First, we will discuss the most effective modes of communication. In the second and third parts, we will identify anomalies in the data that relate to workshop content</w:t>
      </w:r>
      <w:r>
        <w:rPr>
          <w:rFonts w:ascii="Times New Roman" w:eastAsia="Times New Roman" w:hAnsi="Times New Roman" w:cs="Times New Roman"/>
          <w:sz w:val="24"/>
          <w:szCs w:val="24"/>
        </w:rPr>
        <w:t xml:space="preserve"> and timing.</w:t>
      </w:r>
    </w:p>
    <w:p w:rsidR="00AA714C" w:rsidRDefault="00AA714C">
      <w:pPr>
        <w:rPr>
          <w:rFonts w:ascii="Times New Roman" w:eastAsia="Times New Roman" w:hAnsi="Times New Roman" w:cs="Times New Roman"/>
          <w:b/>
          <w:i/>
          <w:sz w:val="24"/>
          <w:szCs w:val="24"/>
        </w:rPr>
      </w:pPr>
    </w:p>
    <w:p w:rsidR="00AA714C" w:rsidRDefault="00E4113E">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Determining Effective Modes of Communication</w:t>
      </w:r>
    </w:p>
    <w:p w:rsidR="00AA714C" w:rsidRDefault="00AA714C">
      <w:pPr>
        <w:ind w:firstLine="720"/>
        <w:rPr>
          <w:rFonts w:ascii="Times New Roman" w:eastAsia="Times New Roman" w:hAnsi="Times New Roman" w:cs="Times New Roman"/>
          <w:sz w:val="24"/>
          <w:szCs w:val="24"/>
        </w:rPr>
      </w:pP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evaluate communication effectiveness, we focused primarily on two data collection methods: paper surveys and Bitly clicks. The surveys asked attendees how they heard about a workshop a</w:t>
      </w:r>
      <w:r>
        <w:rPr>
          <w:rFonts w:ascii="Times New Roman" w:eastAsia="Times New Roman" w:hAnsi="Times New Roman" w:cs="Times New Roman"/>
          <w:sz w:val="24"/>
          <w:szCs w:val="24"/>
        </w:rPr>
        <w:t xml:space="preserve">nd how they would prefer to hear about workshops in the future. The Bitly clicks allowed us to gauge our reach, and, combined with survey data, helped us refine our methods over time. </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both the spring and fall of 2016 we asked the same survey question: </w:t>
      </w:r>
      <w:r>
        <w:rPr>
          <w:rFonts w:ascii="Times New Roman" w:eastAsia="Times New Roman" w:hAnsi="Times New Roman" w:cs="Times New Roman"/>
          <w:sz w:val="24"/>
          <w:szCs w:val="24"/>
        </w:rPr>
        <w:t xml:space="preserve">“How did you hear about this workshop?” We provided fourteen different options, including a write-in “other” option. Figure 1 shows the top five survey responses, along with the total number of responses that we received each semester. Four out of the top </w:t>
      </w:r>
      <w:r>
        <w:rPr>
          <w:rFonts w:ascii="Times New Roman" w:eastAsia="Times New Roman" w:hAnsi="Times New Roman" w:cs="Times New Roman"/>
          <w:sz w:val="24"/>
          <w:szCs w:val="24"/>
        </w:rPr>
        <w:t xml:space="preserve">five attendee responses were the same across these semesters: Dibner Library website, email from a professor, flyers in the library, and PA announcements. </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shows that “email from a professor” was the most effective outreach method in spring 2016, </w:t>
      </w:r>
      <w:r>
        <w:rPr>
          <w:rFonts w:ascii="Times New Roman" w:eastAsia="Times New Roman" w:hAnsi="Times New Roman" w:cs="Times New Roman"/>
          <w:sz w:val="24"/>
          <w:szCs w:val="24"/>
        </w:rPr>
        <w:t>while the second most popular choice was “other.” However, 22 out of 30 respondents who selected “other” indicated that they, too, heard about the workshop through an email, but from sources other than a professor. Therefore, we introduced a more refined e</w:t>
      </w:r>
      <w:r>
        <w:rPr>
          <w:rFonts w:ascii="Times New Roman" w:eastAsia="Times New Roman" w:hAnsi="Times New Roman" w:cs="Times New Roman"/>
          <w:sz w:val="24"/>
          <w:szCs w:val="24"/>
        </w:rPr>
        <w:t>mail scheme (outlined in the methodology section) starting in the fall 2016 semester. In the spring of 2017, we again asked attendees how they heard about a given workshop, but expanded the response options so that attendees could select from three differe</w:t>
      </w:r>
      <w:r>
        <w:rPr>
          <w:rFonts w:ascii="Times New Roman" w:eastAsia="Times New Roman" w:hAnsi="Times New Roman" w:cs="Times New Roman"/>
          <w:sz w:val="24"/>
          <w:szCs w:val="24"/>
        </w:rPr>
        <w:t xml:space="preserve">nt email sources: professor, library, and department (see appendix 2). These new choices allowed survey respondents to be more specific about the types of emails that reached them. </w:t>
      </w:r>
    </w:p>
    <w:p w:rsidR="00AA714C" w:rsidRDefault="00E4113E">
      <w:pPr>
        <w:ind w:firstLine="720"/>
      </w:pPr>
      <w:r>
        <w:rPr>
          <w:rFonts w:ascii="Times New Roman" w:eastAsia="Times New Roman" w:hAnsi="Times New Roman" w:cs="Times New Roman"/>
          <w:sz w:val="24"/>
          <w:szCs w:val="24"/>
        </w:rPr>
        <w:t>The spring 2017 survey asked attendees how they would prefer to hear about</w:t>
      </w:r>
      <w:r>
        <w:rPr>
          <w:rFonts w:ascii="Times New Roman" w:eastAsia="Times New Roman" w:hAnsi="Times New Roman" w:cs="Times New Roman"/>
          <w:sz w:val="24"/>
          <w:szCs w:val="24"/>
        </w:rPr>
        <w:t xml:space="preserve"> upcoming workshops moving forward. Over 60% of 271 attendees responded that they wanted to receive some form of email either from the library (48%) or from their department (13%). During the fall of 2017, the survey questions remained the same, and we rec</w:t>
      </w:r>
      <w:r>
        <w:rPr>
          <w:rFonts w:ascii="Times New Roman" w:eastAsia="Times New Roman" w:hAnsi="Times New Roman" w:cs="Times New Roman"/>
          <w:sz w:val="24"/>
          <w:szCs w:val="24"/>
        </w:rPr>
        <w:t xml:space="preserve">eived even more responses: 372. Once again, email proved to be the most popular channel of communication. Over two-thirds of </w:t>
      </w:r>
      <w:r>
        <w:rPr>
          <w:rFonts w:ascii="Times New Roman" w:eastAsia="Times New Roman" w:hAnsi="Times New Roman" w:cs="Times New Roman"/>
          <w:sz w:val="24"/>
          <w:szCs w:val="24"/>
        </w:rPr>
        <w:lastRenderedPageBreak/>
        <w:t xml:space="preserve">respondents said they had heard about the workshops through an email and preferred to be reached by email from their department, a </w:t>
      </w:r>
      <w:r>
        <w:rPr>
          <w:rFonts w:ascii="Times New Roman" w:eastAsia="Times New Roman" w:hAnsi="Times New Roman" w:cs="Times New Roman"/>
          <w:sz w:val="24"/>
          <w:szCs w:val="24"/>
        </w:rPr>
        <w:t>professor, or the library. As shown in figure 2, survey respondents overwhelmingly favored emails directly from Dibner Library, which we determined was the most effective mode of communication from our four semesters of data.</w:t>
      </w:r>
    </w:p>
    <w:p w:rsidR="00AA714C" w:rsidRDefault="00AA714C">
      <w:pPr>
        <w:rPr>
          <w:rFonts w:ascii="Times New Roman" w:eastAsia="Times New Roman" w:hAnsi="Times New Roman" w:cs="Times New Roman"/>
          <w:b/>
          <w:sz w:val="24"/>
          <w:szCs w:val="24"/>
        </w:rPr>
      </w:pPr>
    </w:p>
    <w:p w:rsidR="00AA714C" w:rsidRDefault="00E4113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1. Top 5 survey respon</w:t>
      </w:r>
      <w:r>
        <w:rPr>
          <w:rFonts w:ascii="Times New Roman" w:eastAsia="Times New Roman" w:hAnsi="Times New Roman" w:cs="Times New Roman"/>
          <w:b/>
          <w:sz w:val="24"/>
          <w:szCs w:val="24"/>
        </w:rPr>
        <w:t>ses: How did you hear about this workshop?</w:t>
      </w:r>
    </w:p>
    <w:p w:rsidR="00AA714C" w:rsidRDefault="00E4113E">
      <w:r>
        <w:rPr>
          <w:rFonts w:ascii="Times New Roman" w:eastAsia="Times New Roman" w:hAnsi="Times New Roman" w:cs="Times New Roman"/>
          <w:b/>
          <w:sz w:val="24"/>
          <w:szCs w:val="24"/>
        </w:rPr>
        <w:t>Figure 2. Survey Responses: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How would you like to hear about future workshops?</w:t>
      </w:r>
      <w:r>
        <w:t xml:space="preserve">  </w:t>
      </w:r>
    </w:p>
    <w:p w:rsidR="00AA714C" w:rsidRDefault="00AA714C">
      <w:pPr>
        <w:rPr>
          <w:b/>
        </w:rPr>
      </w:pP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Bitly click data verified that the surveys accurately captured patron behavior. Figure 3 shows the total Bitly clicks from each</w:t>
      </w:r>
      <w:r>
        <w:rPr>
          <w:rFonts w:ascii="Times New Roman" w:eastAsia="Times New Roman" w:hAnsi="Times New Roman" w:cs="Times New Roman"/>
          <w:sz w:val="24"/>
          <w:szCs w:val="24"/>
        </w:rPr>
        <w:t xml:space="preserve"> semester broken down into total email and non-email categories. Emails accounted for the majority of clicks during all semesters. Additionally, the percentage of total clicks represented by email increased each semester, as shown in Figure 3. We believe t</w:t>
      </w:r>
      <w:r>
        <w:rPr>
          <w:rFonts w:ascii="Times New Roman" w:eastAsia="Times New Roman" w:hAnsi="Times New Roman" w:cs="Times New Roman"/>
          <w:sz w:val="24"/>
          <w:szCs w:val="24"/>
        </w:rPr>
        <w:t xml:space="preserve">hat email reach grew in part due to our refinements, which included improved email formatting, and consistency of email outreach. </w:t>
      </w:r>
    </w:p>
    <w:p w:rsidR="00AA714C" w:rsidRDefault="00AA714C">
      <w:pPr>
        <w:ind w:firstLine="720"/>
        <w:rPr>
          <w:rFonts w:ascii="Times New Roman" w:eastAsia="Times New Roman" w:hAnsi="Times New Roman" w:cs="Times New Roman"/>
          <w:sz w:val="24"/>
          <w:szCs w:val="24"/>
        </w:rPr>
      </w:pPr>
    </w:p>
    <w:p w:rsidR="00AA714C" w:rsidRDefault="00E4113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3. Percentage of clicks from emails vs non-email</w:t>
      </w:r>
      <w:r>
        <w:rPr>
          <w:rFonts w:ascii="Times New Roman" w:eastAsia="Times New Roman" w:hAnsi="Times New Roman" w:cs="Times New Roman"/>
          <w:sz w:val="24"/>
          <w:szCs w:val="24"/>
        </w:rPr>
        <w:t xml:space="preserve"> </w:t>
      </w:r>
    </w:p>
    <w:p w:rsidR="00AA714C" w:rsidRDefault="00E411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4. Percentage of clicks from emails 1, 2, 3 and non-email</w:t>
      </w:r>
    </w:p>
    <w:p w:rsidR="00AA714C" w:rsidRDefault="00AA714C">
      <w:pPr>
        <w:rPr>
          <w:rFonts w:ascii="Times New Roman" w:eastAsia="Times New Roman" w:hAnsi="Times New Roman" w:cs="Times New Roman"/>
          <w:sz w:val="24"/>
          <w:szCs w:val="24"/>
        </w:rPr>
      </w:pPr>
    </w:p>
    <w:p w:rsidR="00AA714C" w:rsidRDefault="00E4113E">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Closer analysis reveals that Bitly click numbers varied across the three email methods we employed. There was an observable increase in the number of clicks coming from department emails (email 3) and Mailchimp (email 2). However, our graduate student emai</w:t>
      </w:r>
      <w:r>
        <w:rPr>
          <w:rFonts w:ascii="Times New Roman" w:eastAsia="Times New Roman" w:hAnsi="Times New Roman" w:cs="Times New Roman"/>
          <w:sz w:val="24"/>
          <w:szCs w:val="24"/>
        </w:rPr>
        <w:t>l (email 1) saw a 40% decrease in clicks between the fall 2016 and spring 2017 semesters. We believe that the decrease in engagement with email 1 can be attributed to the changes in university policy regarding mass emails. Due to these changes, the NYU Tan</w:t>
      </w:r>
      <w:r>
        <w:rPr>
          <w:rFonts w:ascii="Times New Roman" w:eastAsia="Times New Roman" w:hAnsi="Times New Roman" w:cs="Times New Roman"/>
          <w:sz w:val="24"/>
          <w:szCs w:val="24"/>
        </w:rPr>
        <w:t>don web team sent email 1 in spring 2017. This shift removed the more personalized touch inherent in receiving emails directly from a professor, making email 1 less effective than previous semesters. Meanwhile, email 3, which was sent from either a profess</w:t>
      </w:r>
      <w:r>
        <w:rPr>
          <w:rFonts w:ascii="Times New Roman" w:eastAsia="Times New Roman" w:hAnsi="Times New Roman" w:cs="Times New Roman"/>
          <w:sz w:val="24"/>
          <w:szCs w:val="24"/>
        </w:rPr>
        <w:t>or or administrator specific to each student’s department, increased in clicks, suggesting that the sender of emails was a crucial component for click numbers. Despite these fluctuations with email 1 and email 3, they remained our most effective communicat</w:t>
      </w:r>
      <w:r>
        <w:rPr>
          <w:rFonts w:ascii="Times New Roman" w:eastAsia="Times New Roman" w:hAnsi="Times New Roman" w:cs="Times New Roman"/>
          <w:sz w:val="24"/>
          <w:szCs w:val="24"/>
        </w:rPr>
        <w:t>ion methods during both semesters. (See figure 4)</w:t>
      </w:r>
    </w:p>
    <w:p w:rsidR="00AA714C" w:rsidRDefault="00E4113E">
      <w:pPr>
        <w:ind w:firstLine="720"/>
      </w:pPr>
      <w:r>
        <w:rPr>
          <w:rFonts w:ascii="Times New Roman" w:eastAsia="Times New Roman" w:hAnsi="Times New Roman" w:cs="Times New Roman"/>
          <w:sz w:val="24"/>
          <w:szCs w:val="24"/>
        </w:rPr>
        <w:t>When we established the three-channel email structure, we chose to include Mailchimp to see if it made a difference in clicks. We started with 18 subscribers at the beginning of September 2016 and exponenti</w:t>
      </w:r>
      <w:r>
        <w:rPr>
          <w:rFonts w:ascii="Times New Roman" w:eastAsia="Times New Roman" w:hAnsi="Times New Roman" w:cs="Times New Roman"/>
          <w:sz w:val="24"/>
          <w:szCs w:val="24"/>
        </w:rPr>
        <w:t>ally grew to 407 subscribers by our final email campaign at the beginning of April 2017. As the number of subscribers increased, the email open rate consistently remained above 70% throughout the spring 2017 semester. Despite our expanded subscriber pool f</w:t>
      </w:r>
      <w:r>
        <w:rPr>
          <w:rFonts w:ascii="Times New Roman" w:eastAsia="Times New Roman" w:hAnsi="Times New Roman" w:cs="Times New Roman"/>
          <w:sz w:val="24"/>
          <w:szCs w:val="24"/>
        </w:rPr>
        <w:t xml:space="preserve">or email 2, the </w:t>
      </w:r>
      <w:proofErr w:type="gramStart"/>
      <w:r>
        <w:rPr>
          <w:rFonts w:ascii="Times New Roman" w:eastAsia="Times New Roman" w:hAnsi="Times New Roman" w:cs="Times New Roman"/>
          <w:sz w:val="24"/>
          <w:szCs w:val="24"/>
        </w:rPr>
        <w:t>amount</w:t>
      </w:r>
      <w:proofErr w:type="gramEnd"/>
      <w:r>
        <w:rPr>
          <w:rFonts w:ascii="Times New Roman" w:eastAsia="Times New Roman" w:hAnsi="Times New Roman" w:cs="Times New Roman"/>
          <w:sz w:val="24"/>
          <w:szCs w:val="24"/>
        </w:rPr>
        <w:t xml:space="preserve"> of patrons it reached was miniscule compared to emails 1 and 3. Thus, we chose to eliminate email 2 from our communications after the spring 2017 semester so as not to interfere with our more effective email methods.</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email emerged</w:t>
      </w:r>
      <w:r>
        <w:rPr>
          <w:rFonts w:ascii="Times New Roman" w:eastAsia="Times New Roman" w:hAnsi="Times New Roman" w:cs="Times New Roman"/>
          <w:sz w:val="24"/>
          <w:szCs w:val="24"/>
        </w:rPr>
        <w:t xml:space="preserve"> as the most successful method of communication, it became clear that a few of our methods were not reaching patrons with the same efficiency. Our Facebook and Twitter posts were not getting many clicks, and our survey results confirmed that respondents di</w:t>
      </w:r>
      <w:r>
        <w:rPr>
          <w:rFonts w:ascii="Times New Roman" w:eastAsia="Times New Roman" w:hAnsi="Times New Roman" w:cs="Times New Roman"/>
          <w:sz w:val="24"/>
          <w:szCs w:val="24"/>
        </w:rPr>
        <w:t xml:space="preserve">d not prefer to be reached through these social media channels. In the spring and fall of 2016 </w:t>
      </w:r>
      <w:r>
        <w:rPr>
          <w:rFonts w:ascii="Times New Roman" w:eastAsia="Times New Roman" w:hAnsi="Times New Roman" w:cs="Times New Roman"/>
          <w:sz w:val="24"/>
          <w:szCs w:val="24"/>
        </w:rPr>
        <w:lastRenderedPageBreak/>
        <w:t>only 1 survey respondent indicated that they found out about a workshop via social media. In the updated survey used in the spring and fall of 2017, social media</w:t>
      </w:r>
      <w:r>
        <w:rPr>
          <w:rFonts w:ascii="Times New Roman" w:eastAsia="Times New Roman" w:hAnsi="Times New Roman" w:cs="Times New Roman"/>
          <w:sz w:val="24"/>
          <w:szCs w:val="24"/>
        </w:rPr>
        <w:t xml:space="preserve"> was one of the least preferred outreach methods (See Figure 2). In spring 2017, 42 survey respondents, about 15%, chose social media as a preferred method; in fall 2017 this number dropped to only 32, about 9%. Among those same survey respondents, only 6 </w:t>
      </w:r>
      <w:r>
        <w:rPr>
          <w:rFonts w:ascii="Times New Roman" w:eastAsia="Times New Roman" w:hAnsi="Times New Roman" w:cs="Times New Roman"/>
          <w:sz w:val="24"/>
          <w:szCs w:val="24"/>
        </w:rPr>
        <w:t>in each semester said they found out about the workshops through social media. Since social media turned out to not be among our most effective modes of communication, we decided not to pursue investing more time in expanding it, especially since we knew t</w:t>
      </w:r>
      <w:r>
        <w:rPr>
          <w:rFonts w:ascii="Times New Roman" w:eastAsia="Times New Roman" w:hAnsi="Times New Roman" w:cs="Times New Roman"/>
          <w:sz w:val="24"/>
          <w:szCs w:val="24"/>
        </w:rPr>
        <w:t xml:space="preserve">hat it would take significant work to increase our follower count and maintain our social media presence.   </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Flyers, posters, other print methods, and our TV screens had mixed results. At first, they seemed to be somewhat effective in reaching patrons. In </w:t>
      </w:r>
      <w:r>
        <w:rPr>
          <w:rFonts w:ascii="Times New Roman" w:eastAsia="Times New Roman" w:hAnsi="Times New Roman" w:cs="Times New Roman"/>
          <w:sz w:val="24"/>
          <w:szCs w:val="24"/>
        </w:rPr>
        <w:t>the first three semesters, flyers around campus were among the top 5 responses on our surveys, but in fall 2017 only 9 respondents (2%) chose this option. However, in the latter two semesters, survey results indicated that flyers, posters, and TV screens w</w:t>
      </w:r>
      <w:r>
        <w:rPr>
          <w:rFonts w:ascii="Times New Roman" w:eastAsia="Times New Roman" w:hAnsi="Times New Roman" w:cs="Times New Roman"/>
          <w:sz w:val="24"/>
          <w:szCs w:val="24"/>
        </w:rPr>
        <w:t xml:space="preserve">ere all among the least preferred methods of communication. Despite these low statistics, we knew anecdotally that some patrons had been seeing our flyers and posters.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among survey respondents’ least preferred methods of communication were our posting</w:t>
      </w:r>
      <w:r>
        <w:rPr>
          <w:rFonts w:ascii="Times New Roman" w:eastAsia="Times New Roman" w:hAnsi="Times New Roman" w:cs="Times New Roman"/>
          <w:sz w:val="24"/>
          <w:szCs w:val="24"/>
        </w:rPr>
        <w:t xml:space="preserve">s in the Tandon School of Engineering events calendar. A total of 9 survey respondents (less than 2%) from spring and fall 2017 indicated that they had found out about the workshops from the School of Engineering events calendar. </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fall 2017, almost 90% </w:t>
      </w:r>
      <w:r>
        <w:rPr>
          <w:rFonts w:ascii="Times New Roman" w:eastAsia="Times New Roman" w:hAnsi="Times New Roman" w:cs="Times New Roman"/>
          <w:sz w:val="24"/>
          <w:szCs w:val="24"/>
        </w:rPr>
        <w:t xml:space="preserve">of our clicks came directly from emails (see figure 3). This data, together with our survey responses, indicated that patrons preferred to get information about workshops directly from the library, not through an alternate website or calendar. However, we </w:t>
      </w:r>
      <w:r>
        <w:rPr>
          <w:rFonts w:ascii="Times New Roman" w:eastAsia="Times New Roman" w:hAnsi="Times New Roman" w:cs="Times New Roman"/>
          <w:sz w:val="24"/>
          <w:szCs w:val="24"/>
        </w:rPr>
        <w:t>decided to maintain a handful of our other communication methods to supplement emails, including calendar posts, social media, and flyers. Even though these methods were not as popular as emails, we did not want to narrow our communication to be entirely e</w:t>
      </w:r>
      <w:r>
        <w:rPr>
          <w:rFonts w:ascii="Times New Roman" w:eastAsia="Times New Roman" w:hAnsi="Times New Roman" w:cs="Times New Roman"/>
          <w:sz w:val="24"/>
          <w:szCs w:val="24"/>
        </w:rPr>
        <w:t>mail-dependent given the research about multimedia marketing and the possibility that other channels were, in fact, reaching some patrons.</w:t>
      </w:r>
    </w:p>
    <w:p w:rsidR="00AA714C" w:rsidRDefault="00AA714C">
      <w:pPr>
        <w:rPr>
          <w:rFonts w:ascii="Times New Roman" w:eastAsia="Times New Roman" w:hAnsi="Times New Roman" w:cs="Times New Roman"/>
          <w:sz w:val="24"/>
          <w:szCs w:val="24"/>
        </w:rPr>
      </w:pPr>
    </w:p>
    <w:p w:rsidR="00AA714C" w:rsidRDefault="00E4113E">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Evaluating interest and evolution of workshop topics </w:t>
      </w:r>
    </w:p>
    <w:p w:rsidR="00AA714C" w:rsidRDefault="00E4113E">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AA714C" w:rsidRDefault="00E4113E">
      <w:pPr>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Our research was not only useful for determining how to reach out to our patron population; it also informed the workshop topics we offered. Through our survey, we asked attendees which workshop topics they would be most likely to attend and included a wri</w:t>
      </w:r>
      <w:r>
        <w:rPr>
          <w:rFonts w:ascii="Times New Roman" w:eastAsia="Times New Roman" w:hAnsi="Times New Roman" w:cs="Times New Roman"/>
          <w:sz w:val="24"/>
          <w:szCs w:val="24"/>
        </w:rPr>
        <w:t>te-in option for patrons to suggest topics. In addition to these direct suggestions, we also analyzed the number of Bitly clicks (reach), number of registrants (interest), and the number of attendees (engagement) for each workshop offering, which helped us</w:t>
      </w:r>
      <w:r>
        <w:rPr>
          <w:rFonts w:ascii="Times New Roman" w:eastAsia="Times New Roman" w:hAnsi="Times New Roman" w:cs="Times New Roman"/>
          <w:sz w:val="24"/>
          <w:szCs w:val="24"/>
        </w:rPr>
        <w:t xml:space="preserve"> identify topics that were of most interest to our patron population. In evaluating student interest and the role of workshop topics, we looked at three sets of data: topic requests, topic categories, and the most successful workshop topics offered.</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mea</w:t>
      </w:r>
      <w:r>
        <w:rPr>
          <w:rFonts w:ascii="Times New Roman" w:eastAsia="Times New Roman" w:hAnsi="Times New Roman" w:cs="Times New Roman"/>
          <w:sz w:val="24"/>
          <w:szCs w:val="24"/>
        </w:rPr>
        <w:t>sured student interest in potential workshop topics by including the survey question “</w:t>
      </w:r>
      <w:r>
        <w:rPr>
          <w:rFonts w:ascii="Times New Roman" w:eastAsia="Times New Roman" w:hAnsi="Times New Roman" w:cs="Times New Roman"/>
          <w:sz w:val="24"/>
          <w:szCs w:val="24"/>
          <w:highlight w:val="white"/>
        </w:rPr>
        <w:t>I would be interested in attending workshops that cover (check all that apply).” We then provided a list for attendees to choose from and a write-in option. When comparin</w:t>
      </w:r>
      <w:r>
        <w:rPr>
          <w:rFonts w:ascii="Times New Roman" w:eastAsia="Times New Roman" w:hAnsi="Times New Roman" w:cs="Times New Roman"/>
          <w:sz w:val="24"/>
          <w:szCs w:val="24"/>
          <w:highlight w:val="white"/>
        </w:rPr>
        <w:t xml:space="preserve">g the </w:t>
      </w:r>
      <w:r>
        <w:rPr>
          <w:rFonts w:ascii="Times New Roman" w:eastAsia="Times New Roman" w:hAnsi="Times New Roman" w:cs="Times New Roman"/>
          <w:sz w:val="24"/>
          <w:szCs w:val="24"/>
          <w:highlight w:val="white"/>
        </w:rPr>
        <w:lastRenderedPageBreak/>
        <w:t xml:space="preserve">spring 2016 and fall 2017 surveys, the </w:t>
      </w:r>
      <w:r>
        <w:rPr>
          <w:rFonts w:ascii="Times New Roman" w:eastAsia="Times New Roman" w:hAnsi="Times New Roman" w:cs="Times New Roman"/>
          <w:sz w:val="24"/>
          <w:szCs w:val="24"/>
        </w:rPr>
        <w:t xml:space="preserve">top five requests remained the same: MatLab, data visualization, quantitative analysis software, data management, and 3D printing software. The write-in option gave us good insight into the </w:t>
      </w:r>
      <w:proofErr w:type="gramStart"/>
      <w:r>
        <w:rPr>
          <w:rFonts w:ascii="Times New Roman" w:eastAsia="Times New Roman" w:hAnsi="Times New Roman" w:cs="Times New Roman"/>
          <w:sz w:val="24"/>
          <w:szCs w:val="24"/>
        </w:rPr>
        <w:t>topics</w:t>
      </w:r>
      <w:proofErr w:type="gramEnd"/>
      <w:r>
        <w:rPr>
          <w:rFonts w:ascii="Times New Roman" w:eastAsia="Times New Roman" w:hAnsi="Times New Roman" w:cs="Times New Roman"/>
          <w:sz w:val="24"/>
          <w:szCs w:val="24"/>
        </w:rPr>
        <w:t xml:space="preserve"> students wante</w:t>
      </w:r>
      <w:r>
        <w:rPr>
          <w:rFonts w:ascii="Times New Roman" w:eastAsia="Times New Roman" w:hAnsi="Times New Roman" w:cs="Times New Roman"/>
          <w:sz w:val="24"/>
          <w:szCs w:val="24"/>
        </w:rPr>
        <w:t>d to attend outside of their academic courses, though occasionally these requests were not within the library’s mission. For example, we received requests for topics such as operating systems, parallel processing, and Linux, which fit within the teaching d</w:t>
      </w:r>
      <w:r>
        <w:rPr>
          <w:rFonts w:ascii="Times New Roman" w:eastAsia="Times New Roman" w:hAnsi="Times New Roman" w:cs="Times New Roman"/>
          <w:sz w:val="24"/>
          <w:szCs w:val="24"/>
        </w:rPr>
        <w:t>omain of academic departments at the engineering school, rather than topics that were within the library’s domain of research support. Since topic requests between the first two semesters of the study were fairly consistent, we removed this question when w</w:t>
      </w:r>
      <w:r>
        <w:rPr>
          <w:rFonts w:ascii="Times New Roman" w:eastAsia="Times New Roman" w:hAnsi="Times New Roman" w:cs="Times New Roman"/>
          <w:sz w:val="24"/>
          <w:szCs w:val="24"/>
        </w:rPr>
        <w:t>e revised the survey for spring 2017.</w:t>
      </w:r>
    </w:p>
    <w:p w:rsidR="00AA714C" w:rsidRDefault="00E4113E">
      <w:pPr>
        <w:ind w:firstLine="720"/>
      </w:pPr>
      <w:r>
        <w:rPr>
          <w:rFonts w:ascii="Times New Roman" w:eastAsia="Times New Roman" w:hAnsi="Times New Roman" w:cs="Times New Roman"/>
          <w:sz w:val="24"/>
          <w:szCs w:val="24"/>
        </w:rPr>
        <w:t>In order to provide a comprehensive view of the different themes and topics we offered, we sorted workshops for the four semesters into two general categories: information literacy and Data Services/software. Informati</w:t>
      </w:r>
      <w:r>
        <w:rPr>
          <w:rFonts w:ascii="Times New Roman" w:eastAsia="Times New Roman" w:hAnsi="Times New Roman" w:cs="Times New Roman"/>
          <w:sz w:val="24"/>
          <w:szCs w:val="24"/>
        </w:rPr>
        <w:t>on literacy workshops encompassed instruction that primarily focused on database searching, or research skills. Data Services/software workshops were those taught by a member of the NYU Libraries Data Services department, or workshops that featured tutoria</w:t>
      </w:r>
      <w:r>
        <w:rPr>
          <w:rFonts w:ascii="Times New Roman" w:eastAsia="Times New Roman" w:hAnsi="Times New Roman" w:cs="Times New Roman"/>
          <w:sz w:val="24"/>
          <w:szCs w:val="24"/>
        </w:rPr>
        <w:t>ls on how to use specific software. Although some workshops fell into both categories, they were coded according to which category they fit best, so that each workshop belonged to only one classification.</w:t>
      </w:r>
    </w:p>
    <w:p w:rsidR="00AA714C" w:rsidRDefault="00AA714C">
      <w:pPr>
        <w:ind w:firstLine="720"/>
      </w:pPr>
    </w:p>
    <w:p w:rsidR="00AA714C" w:rsidRDefault="00E4113E">
      <w:pPr>
        <w:rPr>
          <w:b/>
        </w:rPr>
      </w:pPr>
      <w:r>
        <w:rPr>
          <w:rFonts w:ascii="Times New Roman" w:eastAsia="Times New Roman" w:hAnsi="Times New Roman" w:cs="Times New Roman"/>
          <w:b/>
          <w:sz w:val="24"/>
          <w:szCs w:val="24"/>
        </w:rPr>
        <w:t xml:space="preserve">Figure 5. Percentage of workshops by category </w:t>
      </w:r>
      <w:r>
        <w:rPr>
          <w:b/>
        </w:rPr>
        <w:t xml:space="preserve"> </w:t>
      </w:r>
    </w:p>
    <w:p w:rsidR="00AA714C" w:rsidRDefault="00AA714C"/>
    <w:p w:rsidR="00AA714C" w:rsidRDefault="00E4113E">
      <w:pPr>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ver the course of the four semesters, we slowly increased the number of Data Services workshops in direct response to survey feedback. Understandably, the engineering students at NYU Tandon requested workshops related to engineering software and data manag</w:t>
      </w:r>
      <w:r>
        <w:rPr>
          <w:rFonts w:ascii="Times New Roman" w:eastAsia="Times New Roman" w:hAnsi="Times New Roman" w:cs="Times New Roman"/>
          <w:sz w:val="24"/>
          <w:szCs w:val="24"/>
        </w:rPr>
        <w:t>ement. However, even as we expanded Data Services options through more software-based offerings, we still deeply valued the role of information literacy workshops and continued to integrate them into our schedule to ensure that our students knew how to app</w:t>
      </w:r>
      <w:r>
        <w:rPr>
          <w:rFonts w:ascii="Times New Roman" w:eastAsia="Times New Roman" w:hAnsi="Times New Roman" w:cs="Times New Roman"/>
          <w:sz w:val="24"/>
          <w:szCs w:val="24"/>
        </w:rPr>
        <w:t xml:space="preserve">ly their research and software skills. </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collecting survey responses from workshop attendees, we analyzed reach, interest, and engagement through other methods: reach was evaluated by counting Bitly clicks, interest was monitored through regi</w:t>
      </w:r>
      <w:r>
        <w:rPr>
          <w:rFonts w:ascii="Times New Roman" w:eastAsia="Times New Roman" w:hAnsi="Times New Roman" w:cs="Times New Roman"/>
          <w:sz w:val="24"/>
          <w:szCs w:val="24"/>
        </w:rPr>
        <w:t xml:space="preserve">stration numbers, and engagement was tracked through attendance data. The reach for all workshops, as measured in total Bitly clicks, jumped significantly between the first and second semesters of our study (993 in Spring 2016; 2351 in Fall 2016) and then </w:t>
      </w:r>
      <w:r>
        <w:rPr>
          <w:rFonts w:ascii="Times New Roman" w:eastAsia="Times New Roman" w:hAnsi="Times New Roman" w:cs="Times New Roman"/>
          <w:sz w:val="24"/>
          <w:szCs w:val="24"/>
        </w:rPr>
        <w:t>plateaued in the third and fourth semesters (1667 in Spring 2017; 1588 in Fall 2017). Despite the total Bitly clicks decreasing from fall 2016 to spring 2017, we saw an increase in workshop attendance, which we believe was due to our more efficient communi</w:t>
      </w:r>
      <w:r>
        <w:rPr>
          <w:rFonts w:ascii="Times New Roman" w:eastAsia="Times New Roman" w:hAnsi="Times New Roman" w:cs="Times New Roman"/>
          <w:sz w:val="24"/>
          <w:szCs w:val="24"/>
        </w:rPr>
        <w:t>cation methods. Click counts helped us gauge the relative reach of each communication method, and also proved useful in determining the interest level for any given workshop. More clicks implied curiosity, or even enthusiasm, for a workshop topic. If a pat</w:t>
      </w:r>
      <w:r>
        <w:rPr>
          <w:rFonts w:ascii="Times New Roman" w:eastAsia="Times New Roman" w:hAnsi="Times New Roman" w:cs="Times New Roman"/>
          <w:sz w:val="24"/>
          <w:szCs w:val="24"/>
        </w:rPr>
        <w:t>ron not only clicked the link, but took the time to register, it was a clear sign of interest. We also examined follow-through by comparing how many students registered with the number of students who actually attended the workshop. Although high attendanc</w:t>
      </w:r>
      <w:r>
        <w:rPr>
          <w:rFonts w:ascii="Times New Roman" w:eastAsia="Times New Roman" w:hAnsi="Times New Roman" w:cs="Times New Roman"/>
          <w:sz w:val="24"/>
          <w:szCs w:val="24"/>
        </w:rPr>
        <w:t xml:space="preserve">e was an important goal, we recognized that it was variable depending on many external factors, such as conflicting university events, classes, midterms, and </w:t>
      </w:r>
      <w:r>
        <w:rPr>
          <w:rFonts w:ascii="Times New Roman" w:eastAsia="Times New Roman" w:hAnsi="Times New Roman" w:cs="Times New Roman"/>
          <w:sz w:val="24"/>
          <w:szCs w:val="24"/>
        </w:rPr>
        <w:lastRenderedPageBreak/>
        <w:t>weather. Counting clicks, registrants, and attendees informed us about which workshop offerings ou</w:t>
      </w:r>
      <w:r>
        <w:rPr>
          <w:rFonts w:ascii="Times New Roman" w:eastAsia="Times New Roman" w:hAnsi="Times New Roman" w:cs="Times New Roman"/>
          <w:sz w:val="24"/>
          <w:szCs w:val="24"/>
        </w:rPr>
        <w:t xml:space="preserve">r students were prioritizing. </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 added new Data Services workshops, we saw an increase in the number of Bitly clicks for those topics. Information literacy workshops still remained of strong interest to our patrons, receiving some of the highest click </w:t>
      </w:r>
      <w:r>
        <w:rPr>
          <w:rFonts w:ascii="Times New Roman" w:eastAsia="Times New Roman" w:hAnsi="Times New Roman" w:cs="Times New Roman"/>
          <w:sz w:val="24"/>
          <w:szCs w:val="24"/>
        </w:rPr>
        <w:t>and attendance numbers. Students showed strong interest in workshops that helped them understand how to use, manage, or analyze data. Novelty also turned out to be an important factor in successful workshops--the first time a topic was offered, clicks, reg</w:t>
      </w:r>
      <w:r>
        <w:rPr>
          <w:rFonts w:ascii="Times New Roman" w:eastAsia="Times New Roman" w:hAnsi="Times New Roman" w:cs="Times New Roman"/>
          <w:sz w:val="24"/>
          <w:szCs w:val="24"/>
        </w:rPr>
        <w:t>istration, and attendance were typically higher. This trend stayed consistent over the course of all four semesters. For example, our new “Get a Patent” workshop in spring 2016 received the highest click count and the third highest attendance of the semest</w:t>
      </w:r>
      <w:r>
        <w:rPr>
          <w:rFonts w:ascii="Times New Roman" w:eastAsia="Times New Roman" w:hAnsi="Times New Roman" w:cs="Times New Roman"/>
          <w:sz w:val="24"/>
          <w:szCs w:val="24"/>
        </w:rPr>
        <w:t>er. “Introduction to LaTex,” introduced in fall 2016 had the highest attendance for the semester, and “Data Extraction &amp; Management Using Python,” which also debuted in fall 2016, had the highest registration and second highest attendance for the semester.</w:t>
      </w:r>
      <w:r>
        <w:rPr>
          <w:rFonts w:ascii="Times New Roman" w:eastAsia="Times New Roman" w:hAnsi="Times New Roman" w:cs="Times New Roman"/>
          <w:sz w:val="24"/>
          <w:szCs w:val="24"/>
        </w:rPr>
        <w:t xml:space="preserve"> Workshops had higher interest and engagement if they were scheduled in sync with relevant university events, such as our career-related workshops that coincided with the fall and spring career fairs. Topic utility, novelty, and scheduling were essential d</w:t>
      </w:r>
      <w:r>
        <w:rPr>
          <w:rFonts w:ascii="Times New Roman" w:eastAsia="Times New Roman" w:hAnsi="Times New Roman" w:cs="Times New Roman"/>
          <w:sz w:val="24"/>
          <w:szCs w:val="24"/>
        </w:rPr>
        <w:t>eterminants of student interest and engagement.</w:t>
      </w:r>
    </w:p>
    <w:p w:rsidR="00AA714C" w:rsidRDefault="00AA714C">
      <w:pPr>
        <w:rPr>
          <w:rFonts w:ascii="Times New Roman" w:eastAsia="Times New Roman" w:hAnsi="Times New Roman" w:cs="Times New Roman"/>
          <w:sz w:val="24"/>
          <w:szCs w:val="24"/>
        </w:rPr>
      </w:pPr>
    </w:p>
    <w:p w:rsidR="00AA714C" w:rsidRDefault="00E4113E">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Examining the effects of timing on workshop attendance</w:t>
      </w:r>
    </w:p>
    <w:p w:rsidR="00AA714C" w:rsidRDefault="00AA714C">
      <w:pPr>
        <w:rPr>
          <w:rFonts w:ascii="Times New Roman" w:eastAsia="Times New Roman" w:hAnsi="Times New Roman" w:cs="Times New Roman"/>
          <w:i/>
          <w:sz w:val="24"/>
          <w:szCs w:val="24"/>
          <w:u w:val="single"/>
        </w:rPr>
      </w:pP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noted earlier, a number of external factors had the potential to bring down attendance, even for workshops with the highest interest and reach. We k</w:t>
      </w:r>
      <w:r>
        <w:rPr>
          <w:rFonts w:ascii="Times New Roman" w:eastAsia="Times New Roman" w:hAnsi="Times New Roman" w:cs="Times New Roman"/>
          <w:sz w:val="24"/>
          <w:szCs w:val="24"/>
        </w:rPr>
        <w:t>new that the days and times of our workshops would be important, given how many other scheduling needs our student body juggles, including course schedules, university events, and exam periods. Dibner Library occupancy counts helped us determine the days a</w:t>
      </w:r>
      <w:r>
        <w:rPr>
          <w:rFonts w:ascii="Times New Roman" w:eastAsia="Times New Roman" w:hAnsi="Times New Roman" w:cs="Times New Roman"/>
          <w:sz w:val="24"/>
          <w:szCs w:val="24"/>
        </w:rPr>
        <w:t>nd times when the highest number of patrons were in the library, and therefore not attending classes or other events. Tuesday, Wednesday and Thursday were the highest occupied days during the semester, particularly between 1:00 PM and 5:00 PM. Thus, we sch</w:t>
      </w:r>
      <w:r>
        <w:rPr>
          <w:rFonts w:ascii="Times New Roman" w:eastAsia="Times New Roman" w:hAnsi="Times New Roman" w:cs="Times New Roman"/>
          <w:sz w:val="24"/>
          <w:szCs w:val="24"/>
        </w:rPr>
        <w:t>eduled our fall 2016 workshops on Wednesdays and Thursdays and alternated between 11:00 AM and 3:00 PM start times. Since workshops typically lasted 1-2 hours, these start times ensured that workshops would be over by 1:00 PM and 5:00 PM, when students wer</w:t>
      </w:r>
      <w:r>
        <w:rPr>
          <w:rFonts w:ascii="Times New Roman" w:eastAsia="Times New Roman" w:hAnsi="Times New Roman" w:cs="Times New Roman"/>
          <w:sz w:val="24"/>
          <w:szCs w:val="24"/>
        </w:rPr>
        <w:t>e least likely to have conflicts. We found that Thursdays did not yield as many attendees, so for the spring 2017 semester we switched to weekly time slots on Tuesdays at 3:00 PM and Wednesdays 11:00 AM and 3:00 PM. This schedule was built with our patrons</w:t>
      </w:r>
      <w:r>
        <w:rPr>
          <w:rFonts w:ascii="Times New Roman" w:eastAsia="Times New Roman" w:hAnsi="Times New Roman" w:cs="Times New Roman"/>
          <w:sz w:val="24"/>
          <w:szCs w:val="24"/>
        </w:rPr>
        <w:t xml:space="preserve"> in mind so that timing would not be a significant barrier to attendance.</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Workshops scheduled at the start of each semester tended to have higher turnout, regardless of topic. An example of this pattern is our career resources workshop, which was one of th</w:t>
      </w:r>
      <w:r>
        <w:rPr>
          <w:rFonts w:ascii="Times New Roman" w:eastAsia="Times New Roman" w:hAnsi="Times New Roman" w:cs="Times New Roman"/>
          <w:sz w:val="24"/>
          <w:szCs w:val="24"/>
        </w:rPr>
        <w:t>e only workshops that we held during each of the four semesters of the study. Due to its early semester placement, this workshop had consistently high attendance. In contrast, we scheduled our patent workshop series at the beginning of the semester in spri</w:t>
      </w:r>
      <w:r>
        <w:rPr>
          <w:rFonts w:ascii="Times New Roman" w:eastAsia="Times New Roman" w:hAnsi="Times New Roman" w:cs="Times New Roman"/>
          <w:sz w:val="24"/>
          <w:szCs w:val="24"/>
        </w:rPr>
        <w:t>ng 2016, and then duplicated the series toward the end of the semester in spring 2017. Despite every other aspect of the series remaining unchanged, placing the patent workshops at the end of semester had a detrimental effect on attendance, suggesting that</w:t>
      </w:r>
      <w:r>
        <w:rPr>
          <w:rFonts w:ascii="Times New Roman" w:eastAsia="Times New Roman" w:hAnsi="Times New Roman" w:cs="Times New Roman"/>
          <w:sz w:val="24"/>
          <w:szCs w:val="24"/>
        </w:rPr>
        <w:t xml:space="preserve"> earlier scheduling is more successful than mid-to-late semester placement. This pattern is likely due to the increased workload that students face </w:t>
      </w:r>
      <w:r>
        <w:rPr>
          <w:rFonts w:ascii="Times New Roman" w:eastAsia="Times New Roman" w:hAnsi="Times New Roman" w:cs="Times New Roman"/>
          <w:sz w:val="24"/>
          <w:szCs w:val="24"/>
        </w:rPr>
        <w:lastRenderedPageBreak/>
        <w:t>as the semester progresses, giving them less time to engage in library programming. Even our communication r</w:t>
      </w:r>
      <w:r>
        <w:rPr>
          <w:rFonts w:ascii="Times New Roman" w:eastAsia="Times New Roman" w:hAnsi="Times New Roman" w:cs="Times New Roman"/>
          <w:sz w:val="24"/>
          <w:szCs w:val="24"/>
        </w:rPr>
        <w:t>efinements could not offset this timing.</w:t>
      </w:r>
    </w:p>
    <w:p w:rsidR="00AA714C" w:rsidRDefault="00AA714C">
      <w:pPr>
        <w:ind w:firstLine="720"/>
        <w:rPr>
          <w:rFonts w:ascii="Times New Roman" w:eastAsia="Times New Roman" w:hAnsi="Times New Roman" w:cs="Times New Roman"/>
          <w:sz w:val="24"/>
          <w:szCs w:val="24"/>
        </w:rPr>
      </w:pPr>
    </w:p>
    <w:p w:rsidR="00AA714C" w:rsidRDefault="00E411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6. Average attendance per week in semester </w:t>
      </w:r>
    </w:p>
    <w:p w:rsidR="00AA714C" w:rsidRDefault="00AA714C">
      <w:pPr>
        <w:ind w:firstLine="720"/>
        <w:rPr>
          <w:rFonts w:ascii="Times New Roman" w:eastAsia="Times New Roman" w:hAnsi="Times New Roman" w:cs="Times New Roman"/>
          <w:sz w:val="24"/>
          <w:szCs w:val="24"/>
        </w:rPr>
      </w:pPr>
    </w:p>
    <w:p w:rsidR="00AA714C" w:rsidRDefault="00E4113E">
      <w:pPr>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We averaged the attendance per week for the two fall and spring semesters, respectively, in order to see how attendance changed over time (see figure 6). Although</w:t>
      </w:r>
      <w:r>
        <w:rPr>
          <w:rFonts w:ascii="Times New Roman" w:eastAsia="Times New Roman" w:hAnsi="Times New Roman" w:cs="Times New Roman"/>
          <w:sz w:val="24"/>
          <w:szCs w:val="24"/>
        </w:rPr>
        <w:t xml:space="preserve"> attendance numbers had peaks and valleys over the course of the semesters, the overall trend was downward. We also averaged workshop registrants and attendance per month, shown in figure 7. This figure also demonstrates that as the spring semesters progre</w:t>
      </w:r>
      <w:r>
        <w:rPr>
          <w:rFonts w:ascii="Times New Roman" w:eastAsia="Times New Roman" w:hAnsi="Times New Roman" w:cs="Times New Roman"/>
          <w:sz w:val="24"/>
          <w:szCs w:val="24"/>
        </w:rPr>
        <w:t xml:space="preserve">ssed, both registrant and attendance numbers decreased, with the lowest numbers in April. During fall semesters, this pattern varied slightly, with registrants and attendance numbers dipping in October, followed by an increase in November. </w:t>
      </w:r>
    </w:p>
    <w:p w:rsidR="00AA714C" w:rsidRDefault="00AA714C">
      <w:pPr>
        <w:rPr>
          <w:rFonts w:ascii="Times New Roman" w:eastAsia="Times New Roman" w:hAnsi="Times New Roman" w:cs="Times New Roman"/>
          <w:b/>
          <w:sz w:val="24"/>
          <w:szCs w:val="24"/>
        </w:rPr>
      </w:pPr>
    </w:p>
    <w:p w:rsidR="00AA714C" w:rsidRDefault="00E411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7. Average registrants &amp; attendance per month</w:t>
      </w:r>
    </w:p>
    <w:p w:rsidR="00AA714C" w:rsidRDefault="00AA714C">
      <w:pPr>
        <w:rPr>
          <w:rFonts w:ascii="Times New Roman" w:eastAsia="Times New Roman" w:hAnsi="Times New Roman" w:cs="Times New Roman"/>
          <w:b/>
          <w:sz w:val="24"/>
          <w:szCs w:val="24"/>
        </w:rPr>
      </w:pP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High-interest topics can offset the mid-to-late semester dip in interest and engagement. In response to student demand, we added a Python-related workshop to the schedule in fall 2016. In spring 2017, w</w:t>
      </w:r>
      <w:r>
        <w:rPr>
          <w:rFonts w:ascii="Times New Roman" w:eastAsia="Times New Roman" w:hAnsi="Times New Roman" w:cs="Times New Roman"/>
          <w:sz w:val="24"/>
          <w:szCs w:val="24"/>
        </w:rPr>
        <w:t>e strategically scheduled this workshop in the middle of the semester to see if it would still perform well. Despite its mid-semester placement, this workshop was unusually successful, which shows that a topic of high interest can still do well during a ti</w:t>
      </w:r>
      <w:r>
        <w:rPr>
          <w:rFonts w:ascii="Times New Roman" w:eastAsia="Times New Roman" w:hAnsi="Times New Roman" w:cs="Times New Roman"/>
          <w:sz w:val="24"/>
          <w:szCs w:val="24"/>
        </w:rPr>
        <w:t xml:space="preserve">me of increased academic focus. If a Python workshop had been scheduled earlier in the semester, it is likely that attendance would have been even higher. This anomaly suggests that higher interest topics can be strategically scheduled during parts of the </w:t>
      </w:r>
      <w:r>
        <w:rPr>
          <w:rFonts w:ascii="Times New Roman" w:eastAsia="Times New Roman" w:hAnsi="Times New Roman" w:cs="Times New Roman"/>
          <w:sz w:val="24"/>
          <w:szCs w:val="24"/>
        </w:rPr>
        <w:t xml:space="preserve">semester when students are less engaged with library programming in order to keep numbers consistent. </w:t>
      </w:r>
    </w:p>
    <w:p w:rsidR="00AA714C" w:rsidRDefault="00AA714C">
      <w:pPr>
        <w:ind w:firstLine="720"/>
        <w:rPr>
          <w:rFonts w:ascii="Times New Roman" w:eastAsia="Times New Roman" w:hAnsi="Times New Roman" w:cs="Times New Roman"/>
          <w:sz w:val="24"/>
          <w:szCs w:val="24"/>
        </w:rPr>
      </w:pPr>
    </w:p>
    <w:p w:rsidR="00AA714C" w:rsidRDefault="00E411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8. Total attendance per semester</w:t>
      </w:r>
    </w:p>
    <w:p w:rsidR="00AA714C" w:rsidRDefault="00AA714C">
      <w:pPr>
        <w:ind w:firstLine="720"/>
        <w:rPr>
          <w:rFonts w:ascii="Times New Roman" w:eastAsia="Times New Roman" w:hAnsi="Times New Roman" w:cs="Times New Roman"/>
          <w:sz w:val="24"/>
          <w:szCs w:val="24"/>
        </w:rPr>
      </w:pP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our study progressed, our communication refinements became more consistent, customized, and effective, and k</w:t>
      </w:r>
      <w:r>
        <w:rPr>
          <w:rFonts w:ascii="Times New Roman" w:eastAsia="Times New Roman" w:hAnsi="Times New Roman" w:cs="Times New Roman"/>
          <w:sz w:val="24"/>
          <w:szCs w:val="24"/>
        </w:rPr>
        <w:t>ept patrons informed about our offerings. We stopped hearing as many comments from our patrons that they were unaware of library workshops. Figure 8 shows that total attendance numbers increased significantly over the course of the four semesters of the st</w:t>
      </w:r>
      <w:r>
        <w:rPr>
          <w:rFonts w:ascii="Times New Roman" w:eastAsia="Times New Roman" w:hAnsi="Times New Roman" w:cs="Times New Roman"/>
          <w:sz w:val="24"/>
          <w:szCs w:val="24"/>
        </w:rPr>
        <w:t>udy, even considering that more workshops were held per semester (see figure 8). During fall 2016, we offered ten additional workshops than we had the previous semester, but only gained 53 attendees. The following semester we increased our workshop offerin</w:t>
      </w:r>
      <w:r>
        <w:rPr>
          <w:rFonts w:ascii="Times New Roman" w:eastAsia="Times New Roman" w:hAnsi="Times New Roman" w:cs="Times New Roman"/>
          <w:sz w:val="24"/>
          <w:szCs w:val="24"/>
        </w:rPr>
        <w:t xml:space="preserve">gs by 3, but our attendance increased by 125 patrons. In fall 2017, despite offering one less workshop than the prior semester, we still received 60 more attendees on top of the prior semester’s gain for an average of 16 attendees per workshop. Before the </w:t>
      </w:r>
      <w:r>
        <w:rPr>
          <w:rFonts w:ascii="Times New Roman" w:eastAsia="Times New Roman" w:hAnsi="Times New Roman" w:cs="Times New Roman"/>
          <w:sz w:val="24"/>
          <w:szCs w:val="24"/>
        </w:rPr>
        <w:t>study began, in fall 2015, we averaged only 8.66 attendees per workshop. Thus, by the end of our study, workshop attendance had nearly doubled. Moreover, pre-study registration was 10.09 patrons per workshop, while post-study, we saw a jump to 24.88 regist</w:t>
      </w:r>
      <w:r>
        <w:rPr>
          <w:rFonts w:ascii="Times New Roman" w:eastAsia="Times New Roman" w:hAnsi="Times New Roman" w:cs="Times New Roman"/>
          <w:sz w:val="24"/>
          <w:szCs w:val="24"/>
        </w:rPr>
        <w:t xml:space="preserve">rants per workshop. This data tells us that our effort to keep our </w:t>
      </w:r>
      <w:r>
        <w:rPr>
          <w:rFonts w:ascii="Times New Roman" w:eastAsia="Times New Roman" w:hAnsi="Times New Roman" w:cs="Times New Roman"/>
          <w:sz w:val="24"/>
          <w:szCs w:val="24"/>
        </w:rPr>
        <w:lastRenderedPageBreak/>
        <w:t>patrons aware of our offerings, regardless of whether they ended up attending or not, was successful.</w:t>
      </w:r>
    </w:p>
    <w:p w:rsidR="00AA714C" w:rsidRDefault="00AA714C">
      <w:pPr>
        <w:ind w:firstLine="720"/>
        <w:rPr>
          <w:rFonts w:ascii="Times New Roman" w:eastAsia="Times New Roman" w:hAnsi="Times New Roman" w:cs="Times New Roman"/>
          <w:sz w:val="24"/>
          <w:szCs w:val="24"/>
        </w:rPr>
      </w:pPr>
    </w:p>
    <w:p w:rsidR="00AA714C" w:rsidRDefault="00E411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rsidR="00AA714C" w:rsidRDefault="00AA714C">
      <w:pPr>
        <w:rPr>
          <w:rFonts w:ascii="Times New Roman" w:eastAsia="Times New Roman" w:hAnsi="Times New Roman" w:cs="Times New Roman"/>
          <w:sz w:val="24"/>
          <w:szCs w:val="24"/>
        </w:rPr>
      </w:pPr>
    </w:p>
    <w:p w:rsidR="00AA714C" w:rsidRDefault="00E4113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Our c</w:t>
      </w:r>
      <w:r>
        <w:rPr>
          <w:rFonts w:ascii="Times New Roman" w:eastAsia="Times New Roman" w:hAnsi="Times New Roman" w:cs="Times New Roman"/>
          <w:sz w:val="24"/>
          <w:szCs w:val="24"/>
        </w:rPr>
        <w:t>ommunication research significantly improved our ability to connect with our patrons and serve their needs. Our approach for this study--the two-way street of communication through outreach and surveys--helped us to learn more about our patrons, how best t</w:t>
      </w:r>
      <w:r>
        <w:rPr>
          <w:rFonts w:ascii="Times New Roman" w:eastAsia="Times New Roman" w:hAnsi="Times New Roman" w:cs="Times New Roman"/>
          <w:sz w:val="24"/>
          <w:szCs w:val="24"/>
        </w:rPr>
        <w:t>o communicate with them, what topics and content interest them, and how to optimize our scheduling to best accommodate their needs. These efforts translated to more registrants and attendees over time. Though the limitations and variables of our study were</w:t>
      </w:r>
      <w:r>
        <w:rPr>
          <w:rFonts w:ascii="Times New Roman" w:eastAsia="Times New Roman" w:hAnsi="Times New Roman" w:cs="Times New Roman"/>
          <w:sz w:val="24"/>
          <w:szCs w:val="24"/>
        </w:rPr>
        <w:t xml:space="preserve"> real, this upward trend in engagement shows that the changes we made to our communication did have an impact. </w:t>
      </w:r>
    </w:p>
    <w:p w:rsidR="00AA714C" w:rsidRDefault="00E411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Since we initiated the communication study, over 1,000 attendees had the opportunity to learn new skills and learn about various aspects of info</w:t>
      </w:r>
      <w:r>
        <w:rPr>
          <w:rFonts w:ascii="Times New Roman" w:eastAsia="Times New Roman" w:hAnsi="Times New Roman" w:cs="Times New Roman"/>
          <w:sz w:val="24"/>
          <w:szCs w:val="24"/>
        </w:rPr>
        <w:t>rmation literacy and resources provided by the library that they might not otherwise have known about. Though this study took place at an academic engineering library, the communication principles explored in this paper can be applied to all academic libra</w:t>
      </w:r>
      <w:r>
        <w:rPr>
          <w:rFonts w:ascii="Times New Roman" w:eastAsia="Times New Roman" w:hAnsi="Times New Roman" w:cs="Times New Roman"/>
          <w:sz w:val="24"/>
          <w:szCs w:val="24"/>
        </w:rPr>
        <w:t>ries and even public libraries. Based on our research, we recommend the following steps in order to increase reach, interest, and engagement:</w:t>
      </w:r>
    </w:p>
    <w:p w:rsidR="00AA714C" w:rsidRDefault="00AA714C">
      <w:pPr>
        <w:rPr>
          <w:rFonts w:ascii="Times New Roman" w:eastAsia="Times New Roman" w:hAnsi="Times New Roman" w:cs="Times New Roman"/>
          <w:sz w:val="24"/>
          <w:szCs w:val="24"/>
        </w:rPr>
      </w:pPr>
    </w:p>
    <w:p w:rsidR="00AA714C" w:rsidRDefault="00E4113E">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Step 1: Assessment</w:t>
      </w:r>
    </w:p>
    <w:p w:rsidR="00AA714C" w:rsidRDefault="00AA714C">
      <w:pPr>
        <w:rPr>
          <w:rFonts w:ascii="Times New Roman" w:eastAsia="Times New Roman" w:hAnsi="Times New Roman" w:cs="Times New Roman"/>
          <w:sz w:val="24"/>
          <w:szCs w:val="24"/>
        </w:rPr>
      </w:pPr>
    </w:p>
    <w:p w:rsidR="00AA714C" w:rsidRDefault="00E4113E">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 a diverse set of trackable communication methods </w:t>
      </w:r>
    </w:p>
    <w:p w:rsidR="00AA714C" w:rsidRDefault="00E4113E">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Monitor clicks, attendance, and regi</w:t>
      </w:r>
      <w:r>
        <w:rPr>
          <w:rFonts w:ascii="Times New Roman" w:eastAsia="Times New Roman" w:hAnsi="Times New Roman" w:cs="Times New Roman"/>
          <w:sz w:val="24"/>
          <w:szCs w:val="24"/>
        </w:rPr>
        <w:t>stration rates to determine what kind of programming is of interest to your community</w:t>
      </w:r>
    </w:p>
    <w:p w:rsidR="00AA714C" w:rsidRDefault="00E4113E">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Track library occupancy rates </w:t>
      </w:r>
    </w:p>
    <w:p w:rsidR="00AA714C" w:rsidRDefault="00E4113E">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times when patrons are most likely to have conflicts (such as exam periods)</w:t>
      </w:r>
    </w:p>
    <w:p w:rsidR="00AA714C" w:rsidRDefault="00E4113E">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Survey patrons about their preferred channels of commu</w:t>
      </w:r>
      <w:r>
        <w:rPr>
          <w:rFonts w:ascii="Times New Roman" w:eastAsia="Times New Roman" w:hAnsi="Times New Roman" w:cs="Times New Roman"/>
          <w:sz w:val="24"/>
          <w:szCs w:val="24"/>
        </w:rPr>
        <w:t>nication and provide multiple opportunities for them to request specific types of instruction or programming</w:t>
      </w:r>
    </w:p>
    <w:p w:rsidR="00AA714C" w:rsidRDefault="00AA714C">
      <w:pPr>
        <w:ind w:left="1440"/>
        <w:rPr>
          <w:rFonts w:ascii="Times New Roman" w:eastAsia="Times New Roman" w:hAnsi="Times New Roman" w:cs="Times New Roman"/>
          <w:sz w:val="24"/>
          <w:szCs w:val="24"/>
        </w:rPr>
      </w:pPr>
    </w:p>
    <w:p w:rsidR="00AA714C" w:rsidRDefault="00E4113E">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Step 2: Action</w:t>
      </w:r>
    </w:p>
    <w:p w:rsidR="00AA714C" w:rsidRDefault="00AA714C">
      <w:pPr>
        <w:rPr>
          <w:rFonts w:ascii="Times New Roman" w:eastAsia="Times New Roman" w:hAnsi="Times New Roman" w:cs="Times New Roman"/>
          <w:sz w:val="24"/>
          <w:szCs w:val="24"/>
          <w:u w:val="single"/>
        </w:rPr>
      </w:pPr>
    </w:p>
    <w:p w:rsidR="00AA714C" w:rsidRDefault="00E4113E">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Consistently reach out to patrons using the communication style(s) that they respond to best. If mass emails are not possible at y</w:t>
      </w:r>
      <w:r>
        <w:rPr>
          <w:rFonts w:ascii="Times New Roman" w:eastAsia="Times New Roman" w:hAnsi="Times New Roman" w:cs="Times New Roman"/>
          <w:sz w:val="24"/>
          <w:szCs w:val="24"/>
        </w:rPr>
        <w:t>our library, consider using a listserv service such as Mailchimp in order to build a subscriber list.</w:t>
      </w:r>
    </w:p>
    <w:p w:rsidR="00AA714C" w:rsidRDefault="00E4113E">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Build programming around the topics that are most relevant to your patrons and may align with other events in the community</w:t>
      </w:r>
    </w:p>
    <w:p w:rsidR="00AA714C" w:rsidRDefault="00E4113E">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workshops and programs in concert with the unique rhythm of the patron population, picking start and end times in which they have proven availability</w:t>
      </w:r>
    </w:p>
    <w:p w:rsidR="00AA714C" w:rsidRDefault="00E4113E">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Continue to survey patrons so that the library can always be adapting to their needs</w:t>
      </w:r>
    </w:p>
    <w:p w:rsidR="00AA714C" w:rsidRDefault="00AA714C">
      <w:pPr>
        <w:rPr>
          <w:rFonts w:ascii="Times New Roman" w:eastAsia="Times New Roman" w:hAnsi="Times New Roman" w:cs="Times New Roman"/>
          <w:sz w:val="24"/>
          <w:szCs w:val="24"/>
        </w:rPr>
      </w:pPr>
    </w:p>
    <w:p w:rsidR="00AA714C" w:rsidRDefault="00E4113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Our researc</w:t>
      </w:r>
      <w:r>
        <w:rPr>
          <w:rFonts w:ascii="Times New Roman" w:eastAsia="Times New Roman" w:hAnsi="Times New Roman" w:cs="Times New Roman"/>
          <w:sz w:val="24"/>
          <w:szCs w:val="24"/>
        </w:rPr>
        <w:t xml:space="preserve">h shows that there </w:t>
      </w:r>
      <w:r>
        <w:rPr>
          <w:rFonts w:ascii="Times New Roman" w:eastAsia="Times New Roman" w:hAnsi="Times New Roman" w:cs="Times New Roman"/>
          <w:i/>
          <w:sz w:val="24"/>
          <w:szCs w:val="24"/>
        </w:rPr>
        <w:t xml:space="preserve">is </w:t>
      </w:r>
      <w:r>
        <w:rPr>
          <w:rFonts w:ascii="Times New Roman" w:eastAsia="Times New Roman" w:hAnsi="Times New Roman" w:cs="Times New Roman"/>
          <w:sz w:val="24"/>
          <w:szCs w:val="24"/>
        </w:rPr>
        <w:t xml:space="preserve">strong interest in library services and programming when communication strategies are tailored to the library community. Refined communications help to </w:t>
      </w:r>
      <w:r>
        <w:rPr>
          <w:rFonts w:ascii="Times New Roman" w:eastAsia="Times New Roman" w:hAnsi="Times New Roman" w:cs="Times New Roman"/>
          <w:sz w:val="24"/>
          <w:szCs w:val="24"/>
        </w:rPr>
        <w:lastRenderedPageBreak/>
        <w:t>spread awareness about library services and increase engagement. Each body of patr</w:t>
      </w:r>
      <w:r>
        <w:rPr>
          <w:rFonts w:ascii="Times New Roman" w:eastAsia="Times New Roman" w:hAnsi="Times New Roman" w:cs="Times New Roman"/>
          <w:sz w:val="24"/>
          <w:szCs w:val="24"/>
        </w:rPr>
        <w:t xml:space="preserve">ons can be reached when librarians are consistently soliciting feedback about specific communication preferences and using that feedback to make large- and small-scale changes that ultimately expand and improve the library experience. </w:t>
      </w: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AA714C">
      <w:pPr>
        <w:rPr>
          <w:rFonts w:ascii="Times New Roman" w:eastAsia="Times New Roman" w:hAnsi="Times New Roman" w:cs="Times New Roman"/>
          <w:b/>
          <w:sz w:val="24"/>
          <w:szCs w:val="24"/>
        </w:rPr>
      </w:pPr>
    </w:p>
    <w:p w:rsidR="00AA714C" w:rsidRDefault="00E4113E">
      <w:pPr>
        <w:ind w:left="48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AA714C" w:rsidRDefault="00AA714C">
      <w:pPr>
        <w:ind w:left="480"/>
        <w:rPr>
          <w:rFonts w:ascii="Times New Roman" w:eastAsia="Times New Roman" w:hAnsi="Times New Roman" w:cs="Times New Roman"/>
          <w:b/>
          <w:sz w:val="24"/>
          <w:szCs w:val="24"/>
        </w:rPr>
      </w:pPr>
    </w:p>
    <w:p w:rsidR="00AA714C" w:rsidRDefault="00E4113E">
      <w:pPr>
        <w:ind w:left="480"/>
        <w:rPr>
          <w:rFonts w:ascii="Times New Roman" w:eastAsia="Times New Roman" w:hAnsi="Times New Roman" w:cs="Times New Roman"/>
          <w:sz w:val="24"/>
          <w:szCs w:val="24"/>
        </w:rPr>
      </w:pPr>
      <w:hyperlink r:id="rId7">
        <w:r>
          <w:rPr>
            <w:rFonts w:ascii="Times New Roman" w:eastAsia="Times New Roman" w:hAnsi="Times New Roman" w:cs="Times New Roman"/>
            <w:sz w:val="24"/>
            <w:szCs w:val="24"/>
          </w:rPr>
          <w:t>Aharony, N.</w:t>
        </w:r>
      </w:hyperlink>
      <w:r>
        <w:rPr>
          <w:rFonts w:ascii="Times New Roman" w:eastAsia="Times New Roman" w:hAnsi="Times New Roman" w:cs="Times New Roman"/>
          <w:sz w:val="24"/>
          <w:szCs w:val="24"/>
          <w:highlight w:val="white"/>
        </w:rPr>
        <w:t xml:space="preserve"> 2012. Facebook Use </w:t>
      </w:r>
      <w:proofErr w:type="gramStart"/>
      <w:r>
        <w:rPr>
          <w:rFonts w:ascii="Times New Roman" w:eastAsia="Times New Roman" w:hAnsi="Times New Roman" w:cs="Times New Roman"/>
          <w:sz w:val="24"/>
          <w:szCs w:val="24"/>
          <w:highlight w:val="white"/>
        </w:rPr>
        <w:t>In</w:t>
      </w:r>
      <w:proofErr w:type="gramEnd"/>
      <w:r>
        <w:rPr>
          <w:rFonts w:ascii="Times New Roman" w:eastAsia="Times New Roman" w:hAnsi="Times New Roman" w:cs="Times New Roman"/>
          <w:sz w:val="24"/>
          <w:szCs w:val="24"/>
          <w:highlight w:val="white"/>
        </w:rPr>
        <w:t xml:space="preserve"> Libraries: An Exploratory Analysis. </w:t>
      </w:r>
      <w:r>
        <w:rPr>
          <w:rFonts w:ascii="Times New Roman" w:eastAsia="Times New Roman" w:hAnsi="Times New Roman" w:cs="Times New Roman"/>
          <w:i/>
          <w:sz w:val="24"/>
          <w:szCs w:val="24"/>
        </w:rPr>
        <w:t>Aslib Proceeding</w:t>
      </w:r>
      <w:r>
        <w:rPr>
          <w:rFonts w:ascii="Times New Roman" w:eastAsia="Times New Roman" w:hAnsi="Times New Roman" w:cs="Times New Roman"/>
          <w:sz w:val="24"/>
          <w:szCs w:val="24"/>
          <w:highlight w:val="white"/>
        </w:rPr>
        <w:t xml:space="preserve">s 64 (4): 358-372. </w:t>
      </w:r>
      <w:hyperlink r:id="rId8">
        <w:r>
          <w:rPr>
            <w:rFonts w:ascii="Times New Roman" w:eastAsia="Times New Roman" w:hAnsi="Times New Roman" w:cs="Times New Roman"/>
            <w:color w:val="1155CC"/>
            <w:sz w:val="24"/>
            <w:szCs w:val="24"/>
            <w:u w:val="single"/>
          </w:rPr>
          <w:t>https://doi.org/10.1108/00012531211244725</w:t>
        </w:r>
      </w:hyperlink>
      <w:r>
        <w:rPr>
          <w:rFonts w:ascii="Times New Roman" w:eastAsia="Times New Roman" w:hAnsi="Times New Roman" w:cs="Times New Roman"/>
          <w:sz w:val="24"/>
          <w:szCs w:val="24"/>
        </w:rPr>
        <w:t xml:space="preserve">  </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 S. 2016. Psychosocial Reasons Why Patrons Avoid Seeking Help from Librarians: A Literature Review. </w:t>
      </w:r>
      <w:r>
        <w:rPr>
          <w:rFonts w:ascii="Times New Roman" w:eastAsia="Times New Roman" w:hAnsi="Times New Roman" w:cs="Times New Roman"/>
          <w:i/>
          <w:sz w:val="24"/>
          <w:szCs w:val="24"/>
        </w:rPr>
        <w:t>Reference Librarian</w:t>
      </w:r>
      <w:r>
        <w:rPr>
          <w:rFonts w:ascii="Times New Roman" w:eastAsia="Times New Roman" w:hAnsi="Times New Roman" w:cs="Times New Roman"/>
          <w:sz w:val="24"/>
          <w:szCs w:val="24"/>
        </w:rPr>
        <w:t xml:space="preserve"> 57 (1): 35–56.</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color w:val="1155CC"/>
            <w:sz w:val="24"/>
            <w:szCs w:val="24"/>
            <w:u w:val="single"/>
          </w:rPr>
          <w:t>https://doi.org/10.1080/02763877.2015.1096227</w:t>
        </w:r>
      </w:hyperlink>
      <w:r>
        <w:rPr>
          <w:rFonts w:ascii="Times New Roman" w:eastAsia="Times New Roman" w:hAnsi="Times New Roman" w:cs="Times New Roman"/>
          <w:sz w:val="24"/>
          <w:szCs w:val="24"/>
        </w:rPr>
        <w:t>.Vin</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Cheong, Y., F. de Gregorio, and K. Kim. 2011. The Power of Reach and Frequency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the Age of Digital Advertising. </w:t>
      </w:r>
      <w:r>
        <w:rPr>
          <w:rFonts w:ascii="Times New Roman" w:eastAsia="Times New Roman" w:hAnsi="Times New Roman" w:cs="Times New Roman"/>
          <w:i/>
          <w:sz w:val="24"/>
          <w:szCs w:val="24"/>
        </w:rPr>
        <w:t>Journal of Advertising Research</w:t>
      </w:r>
      <w:r>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0 (4): 403–15.</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color w:val="1155CC"/>
            <w:sz w:val="24"/>
            <w:szCs w:val="24"/>
            <w:u w:val="single"/>
          </w:rPr>
          <w:t>https://doi.org/10.2501/s0021849910091555</w:t>
        </w:r>
      </w:hyperlink>
      <w:r>
        <w:rPr>
          <w:rFonts w:ascii="Times New Roman" w:eastAsia="Times New Roman" w:hAnsi="Times New Roman" w:cs="Times New Roman"/>
          <w:sz w:val="24"/>
          <w:szCs w:val="24"/>
        </w:rPr>
        <w:t>.</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Connaway, L.S. 2015. </w:t>
      </w:r>
      <w:r>
        <w:rPr>
          <w:rFonts w:ascii="Times New Roman" w:eastAsia="Times New Roman" w:hAnsi="Times New Roman" w:cs="Times New Roman"/>
          <w:i/>
          <w:sz w:val="24"/>
          <w:szCs w:val="24"/>
        </w:rPr>
        <w:t>The Library in the Life of the User : Engaging with Peo</w:t>
      </w:r>
      <w:r>
        <w:rPr>
          <w:rFonts w:ascii="Times New Roman" w:eastAsia="Times New Roman" w:hAnsi="Times New Roman" w:cs="Times New Roman"/>
          <w:i/>
          <w:sz w:val="24"/>
          <w:szCs w:val="24"/>
        </w:rPr>
        <w:t>ple Where They Live and Learn</w:t>
      </w:r>
      <w:r>
        <w:rPr>
          <w:rFonts w:ascii="Times New Roman" w:eastAsia="Times New Roman" w:hAnsi="Times New Roman" w:cs="Times New Roman"/>
          <w:sz w:val="24"/>
          <w:szCs w:val="24"/>
        </w:rPr>
        <w:t>. Dublin, Ohio: OCLC Research.</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 R. C. 2016. Hackathons for Libraries and Librarians. </w:t>
      </w:r>
      <w:r>
        <w:rPr>
          <w:rFonts w:ascii="Times New Roman" w:eastAsia="Times New Roman" w:hAnsi="Times New Roman" w:cs="Times New Roman"/>
          <w:i/>
          <w:sz w:val="24"/>
          <w:szCs w:val="24"/>
        </w:rPr>
        <w:t>Behavioral and Social Sciences Librarian</w:t>
      </w:r>
      <w:r>
        <w:rPr>
          <w:rFonts w:ascii="Times New Roman" w:eastAsia="Times New Roman" w:hAnsi="Times New Roman" w:cs="Times New Roman"/>
          <w:sz w:val="24"/>
          <w:szCs w:val="24"/>
        </w:rPr>
        <w:t>.</w:t>
      </w:r>
      <w:hyperlink r:id="rId13">
        <w:r>
          <w:rPr>
            <w:rFonts w:ascii="Times New Roman" w:eastAsia="Times New Roman" w:hAnsi="Times New Roman" w:cs="Times New Roman"/>
            <w:sz w:val="24"/>
            <w:szCs w:val="24"/>
          </w:rPr>
          <w:t xml:space="preserve"> </w:t>
        </w:r>
      </w:hyperlink>
      <w:hyperlink r:id="rId14">
        <w:r>
          <w:rPr>
            <w:rFonts w:ascii="Times New Roman" w:eastAsia="Times New Roman" w:hAnsi="Times New Roman" w:cs="Times New Roman"/>
            <w:color w:val="1155CC"/>
            <w:sz w:val="24"/>
            <w:szCs w:val="24"/>
            <w:u w:val="single"/>
          </w:rPr>
          <w:t>https://doi.org/10.1080/01639269.2016.1208561</w:t>
        </w:r>
      </w:hyperlink>
      <w:r>
        <w:rPr>
          <w:rFonts w:ascii="Times New Roman" w:eastAsia="Times New Roman" w:hAnsi="Times New Roman" w:cs="Times New Roman"/>
          <w:sz w:val="24"/>
          <w:szCs w:val="24"/>
        </w:rPr>
        <w:t>.</w:t>
      </w:r>
    </w:p>
    <w:p w:rsidR="00AA714C" w:rsidRDefault="00E4113E">
      <w:pPr>
        <w:shd w:val="clear" w:color="auto" w:fill="FFFFFF"/>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Dennis, M. 2012. Outreach Initiatives in Academic Libraries, 2009-2011. </w:t>
      </w:r>
      <w:r>
        <w:rPr>
          <w:rFonts w:ascii="Times New Roman" w:eastAsia="Times New Roman" w:hAnsi="Times New Roman" w:cs="Times New Roman"/>
          <w:i/>
          <w:sz w:val="24"/>
          <w:szCs w:val="24"/>
        </w:rPr>
        <w:t>Reference Services Review</w:t>
      </w:r>
      <w:r>
        <w:rPr>
          <w:rFonts w:ascii="Times New Roman" w:eastAsia="Times New Roman" w:hAnsi="Times New Roman" w:cs="Times New Roman"/>
          <w:sz w:val="24"/>
          <w:szCs w:val="24"/>
        </w:rPr>
        <w:t xml:space="preserve"> 40 (3): 368-383. </w:t>
      </w:r>
      <w:hyperlink r:id="rId15">
        <w:r>
          <w:rPr>
            <w:rFonts w:ascii="Times New Roman" w:eastAsia="Times New Roman" w:hAnsi="Times New Roman" w:cs="Times New Roman"/>
            <w:color w:val="1155CC"/>
            <w:sz w:val="24"/>
            <w:szCs w:val="24"/>
            <w:u w:val="single"/>
          </w:rPr>
          <w:t>http://dx.doi.org/10.1108/00907321211254643</w:t>
        </w:r>
      </w:hyperlink>
      <w:r>
        <w:rPr>
          <w:rFonts w:ascii="Times New Roman" w:eastAsia="Times New Roman" w:hAnsi="Times New Roman" w:cs="Times New Roman"/>
          <w:sz w:val="24"/>
          <w:szCs w:val="24"/>
        </w:rPr>
        <w:t xml:space="preserve">. </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Harrington, D. L., and X. Li. 2001. Spinning an Academic Web Community: Measuring Marketing Effectiveness. </w:t>
      </w:r>
      <w:r>
        <w:rPr>
          <w:rFonts w:ascii="Times New Roman" w:eastAsia="Times New Roman" w:hAnsi="Times New Roman" w:cs="Times New Roman"/>
          <w:i/>
          <w:sz w:val="24"/>
          <w:szCs w:val="24"/>
        </w:rPr>
        <w:t>Journal of Academic Librarianship</w:t>
      </w:r>
      <w:r>
        <w:rPr>
          <w:rFonts w:ascii="Times New Roman" w:eastAsia="Times New Roman" w:hAnsi="Times New Roman" w:cs="Times New Roman"/>
          <w:sz w:val="24"/>
          <w:szCs w:val="24"/>
        </w:rPr>
        <w:t xml:space="preserve"> 27 (3): 199–207.</w:t>
      </w:r>
      <w:hyperlink r:id="rId16">
        <w:r>
          <w:rPr>
            <w:rFonts w:ascii="Times New Roman" w:eastAsia="Times New Roman" w:hAnsi="Times New Roman" w:cs="Times New Roman"/>
            <w:sz w:val="24"/>
            <w:szCs w:val="24"/>
          </w:rPr>
          <w:t xml:space="preserve"> </w:t>
        </w:r>
      </w:hyperlink>
      <w:hyperlink r:id="rId17">
        <w:r>
          <w:rPr>
            <w:rFonts w:ascii="Times New Roman" w:eastAsia="Times New Roman" w:hAnsi="Times New Roman" w:cs="Times New Roman"/>
            <w:color w:val="1155CC"/>
            <w:sz w:val="24"/>
            <w:szCs w:val="24"/>
            <w:u w:val="single"/>
          </w:rPr>
          <w:t>https://doi.org/10.1016/S0099-1333(01)00181-1</w:t>
        </w:r>
      </w:hyperlink>
      <w:r>
        <w:rPr>
          <w:rFonts w:ascii="Times New Roman" w:eastAsia="Times New Roman" w:hAnsi="Times New Roman" w:cs="Times New Roman"/>
          <w:sz w:val="24"/>
          <w:szCs w:val="24"/>
        </w:rPr>
        <w:t>.</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A. M. 2018. Connections, Conversations, and Visibility How the Work of Academic Reference and Liaison Librarians Is Evolving. </w:t>
      </w:r>
      <w:r>
        <w:rPr>
          <w:rFonts w:ascii="Times New Roman" w:eastAsia="Times New Roman" w:hAnsi="Times New Roman" w:cs="Times New Roman"/>
          <w:i/>
          <w:sz w:val="24"/>
          <w:szCs w:val="24"/>
        </w:rPr>
        <w:t>Reference &amp; User Services Quarterly</w:t>
      </w:r>
      <w:r>
        <w:rPr>
          <w:rFonts w:ascii="Times New Roman" w:eastAsia="Times New Roman" w:hAnsi="Times New Roman" w:cs="Times New Roman"/>
          <w:sz w:val="24"/>
          <w:szCs w:val="24"/>
        </w:rPr>
        <w:t xml:space="preserve"> 58 (2): 91–102.</w:t>
      </w:r>
      <w:hyperlink r:id="rId18">
        <w:r>
          <w:rPr>
            <w:rFonts w:ascii="Times New Roman" w:eastAsia="Times New Roman" w:hAnsi="Times New Roman" w:cs="Times New Roman"/>
            <w:sz w:val="24"/>
            <w:szCs w:val="24"/>
          </w:rPr>
          <w:t xml:space="preserve"> </w:t>
        </w:r>
      </w:hyperlink>
      <w:hyperlink r:id="rId19">
        <w:r>
          <w:rPr>
            <w:rFonts w:ascii="Times New Roman" w:eastAsia="Times New Roman" w:hAnsi="Times New Roman" w:cs="Times New Roman"/>
            <w:color w:val="1155CC"/>
            <w:sz w:val="24"/>
            <w:szCs w:val="24"/>
            <w:u w:val="single"/>
          </w:rPr>
          <w:t>https://doi.org/10.5860/rusq.58.2.6929</w:t>
        </w:r>
      </w:hyperlink>
      <w:r>
        <w:rPr>
          <w:rFonts w:ascii="Times New Roman" w:eastAsia="Times New Roman" w:hAnsi="Times New Roman" w:cs="Times New Roman"/>
          <w:sz w:val="24"/>
          <w:szCs w:val="24"/>
        </w:rPr>
        <w:t>.</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Kamin, H. 1978. Advertising Reach and Frequency. </w:t>
      </w:r>
      <w:r>
        <w:rPr>
          <w:rFonts w:ascii="Times New Roman" w:eastAsia="Times New Roman" w:hAnsi="Times New Roman" w:cs="Times New Roman"/>
          <w:i/>
          <w:sz w:val="24"/>
          <w:szCs w:val="24"/>
        </w:rPr>
        <w:t>Journal of Advertising Research</w:t>
      </w:r>
      <w:r>
        <w:rPr>
          <w:rFonts w:ascii="Times New Roman" w:eastAsia="Times New Roman" w:hAnsi="Times New Roman" w:cs="Times New Roman"/>
          <w:sz w:val="24"/>
          <w:szCs w:val="24"/>
        </w:rPr>
        <w:t xml:space="preserve"> 18 (1): 21–25.</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Lant, J. 1989. Let’s Not Call It Marketing. </w:t>
      </w:r>
      <w:r>
        <w:rPr>
          <w:rFonts w:ascii="Times New Roman" w:eastAsia="Times New Roman" w:hAnsi="Times New Roman" w:cs="Times New Roman"/>
          <w:i/>
          <w:sz w:val="24"/>
          <w:szCs w:val="24"/>
        </w:rPr>
        <w:t>Nonprofit World</w:t>
      </w:r>
      <w:r>
        <w:rPr>
          <w:rFonts w:ascii="Times New Roman" w:eastAsia="Times New Roman" w:hAnsi="Times New Roman" w:cs="Times New Roman"/>
          <w:sz w:val="24"/>
          <w:szCs w:val="24"/>
        </w:rPr>
        <w:t xml:space="preserve"> 7 (4): 18–20.</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La Place, C., Jordan, S., Lande, M., &amp; Weiner, S. 2018. Engineering Students Rapidly Learning at Hackathon Events. American Society for Engineering Education.</w:t>
      </w:r>
      <w:hyperlink r:id="rId20">
        <w:r>
          <w:rPr>
            <w:rFonts w:ascii="Times New Roman" w:eastAsia="Times New Roman" w:hAnsi="Times New Roman" w:cs="Times New Roman"/>
            <w:sz w:val="24"/>
            <w:szCs w:val="24"/>
          </w:rPr>
          <w:t xml:space="preserve"> </w:t>
        </w:r>
      </w:hyperlink>
      <w:hyperlink r:id="rId21">
        <w:r>
          <w:rPr>
            <w:rFonts w:ascii="Times New Roman" w:eastAsia="Times New Roman" w:hAnsi="Times New Roman" w:cs="Times New Roman"/>
            <w:color w:val="1155CC"/>
            <w:sz w:val="24"/>
            <w:szCs w:val="24"/>
            <w:u w:val="single"/>
          </w:rPr>
          <w:t>https://doi.org/10.18260/1-2--28260</w:t>
        </w:r>
      </w:hyperlink>
      <w:r>
        <w:rPr>
          <w:rFonts w:ascii="Times New Roman" w:eastAsia="Times New Roman" w:hAnsi="Times New Roman" w:cs="Times New Roman"/>
          <w:sz w:val="24"/>
          <w:szCs w:val="24"/>
        </w:rPr>
        <w:t>.</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Loda, M. D. 2014. Suggesting a More Effective Way to Use the Promotional Mix in Services. </w:t>
      </w:r>
      <w:r>
        <w:rPr>
          <w:rFonts w:ascii="Times New Roman" w:eastAsia="Times New Roman" w:hAnsi="Times New Roman" w:cs="Times New Roman"/>
          <w:i/>
          <w:sz w:val="24"/>
          <w:szCs w:val="24"/>
        </w:rPr>
        <w:t>Services Marketing Quarterly</w:t>
      </w:r>
      <w:r>
        <w:rPr>
          <w:rFonts w:ascii="Times New Roman" w:eastAsia="Times New Roman" w:hAnsi="Times New Roman" w:cs="Times New Roman"/>
          <w:sz w:val="24"/>
          <w:szCs w:val="24"/>
        </w:rPr>
        <w:t xml:space="preserve"> 35 (4): 304–20.</w:t>
      </w:r>
      <w:hyperlink r:id="rId22">
        <w:r>
          <w:rPr>
            <w:rFonts w:ascii="Times New Roman" w:eastAsia="Times New Roman" w:hAnsi="Times New Roman" w:cs="Times New Roman"/>
            <w:sz w:val="24"/>
            <w:szCs w:val="24"/>
          </w:rPr>
          <w:t xml:space="preserve"> </w:t>
        </w:r>
      </w:hyperlink>
      <w:hyperlink r:id="rId23">
        <w:r>
          <w:rPr>
            <w:rFonts w:ascii="Times New Roman" w:eastAsia="Times New Roman" w:hAnsi="Times New Roman" w:cs="Times New Roman"/>
            <w:color w:val="1155CC"/>
            <w:sz w:val="24"/>
            <w:szCs w:val="24"/>
            <w:u w:val="single"/>
          </w:rPr>
          <w:t>https://doi.org/10.1080/15332969.2014.946875</w:t>
        </w:r>
      </w:hyperlink>
      <w:r>
        <w:rPr>
          <w:rFonts w:ascii="Times New Roman" w:eastAsia="Times New Roman" w:hAnsi="Times New Roman" w:cs="Times New Roman"/>
          <w:sz w:val="24"/>
          <w:szCs w:val="24"/>
        </w:rPr>
        <w:t>.</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New York University. 2018a. Fast Facts: Student Enrollment,” Accessed August 10, 2019.</w:t>
      </w:r>
      <w:hyperlink r:id="rId24">
        <w:r>
          <w:rPr>
            <w:rFonts w:ascii="Times New Roman" w:eastAsia="Times New Roman" w:hAnsi="Times New Roman" w:cs="Times New Roman"/>
            <w:sz w:val="24"/>
            <w:szCs w:val="24"/>
          </w:rPr>
          <w:t xml:space="preserve"> </w:t>
        </w:r>
      </w:hyperlink>
      <w:hyperlink r:id="rId25">
        <w:r>
          <w:rPr>
            <w:rFonts w:ascii="Times New Roman" w:eastAsia="Times New Roman" w:hAnsi="Times New Roman" w:cs="Times New Roman"/>
            <w:color w:val="1155CC"/>
            <w:sz w:val="24"/>
            <w:szCs w:val="24"/>
            <w:u w:val="single"/>
          </w:rPr>
          <w:t>https://engineering.nyu.edu/about/fast-facts</w:t>
        </w:r>
      </w:hyperlink>
      <w:r>
        <w:rPr>
          <w:rFonts w:ascii="Times New Roman" w:eastAsia="Times New Roman" w:hAnsi="Times New Roman" w:cs="Times New Roman"/>
          <w:sz w:val="24"/>
          <w:szCs w:val="24"/>
        </w:rPr>
        <w:t>.</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2018b. “NYU at a Glance,” Accessed August 10, 2019.</w:t>
      </w:r>
      <w:hyperlink r:id="rId26">
        <w:r>
          <w:rPr>
            <w:rFonts w:ascii="Times New Roman" w:eastAsia="Times New Roman" w:hAnsi="Times New Roman" w:cs="Times New Roman"/>
            <w:sz w:val="24"/>
            <w:szCs w:val="24"/>
          </w:rPr>
          <w:t xml:space="preserve"> </w:t>
        </w:r>
      </w:hyperlink>
      <w:hyperlink r:id="rId27">
        <w:r>
          <w:rPr>
            <w:rFonts w:ascii="Times New Roman" w:eastAsia="Times New Roman" w:hAnsi="Times New Roman" w:cs="Times New Roman"/>
            <w:color w:val="1155CC"/>
            <w:sz w:val="24"/>
            <w:szCs w:val="24"/>
            <w:u w:val="single"/>
          </w:rPr>
          <w:t>https://www.nyu.edu/about/news-publications/nyu-at-a-glance.html</w:t>
        </w:r>
      </w:hyperlink>
      <w:r>
        <w:rPr>
          <w:rFonts w:ascii="Times New Roman" w:eastAsia="Times New Roman" w:hAnsi="Times New Roman" w:cs="Times New Roman"/>
          <w:sz w:val="24"/>
          <w:szCs w:val="24"/>
        </w:rPr>
        <w:t>.</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Owens, T. M., and K. Bishop. 2017. ‘Let’s Try It!’: Library Outreach in a Culture of Yes. </w:t>
      </w:r>
      <w:r>
        <w:rPr>
          <w:rFonts w:ascii="Times New Roman" w:eastAsia="Times New Roman" w:hAnsi="Times New Roman" w:cs="Times New Roman"/>
          <w:i/>
          <w:sz w:val="24"/>
          <w:szCs w:val="24"/>
        </w:rPr>
        <w:t>Public Services Quarterly</w:t>
      </w:r>
      <w:r>
        <w:rPr>
          <w:rFonts w:ascii="Times New Roman" w:eastAsia="Times New Roman" w:hAnsi="Times New Roman" w:cs="Times New Roman"/>
          <w:sz w:val="24"/>
          <w:szCs w:val="24"/>
        </w:rPr>
        <w:t xml:space="preserve"> 14 (1): 75–82.</w:t>
      </w:r>
      <w:hyperlink r:id="rId28">
        <w:r>
          <w:rPr>
            <w:rFonts w:ascii="Times New Roman" w:eastAsia="Times New Roman" w:hAnsi="Times New Roman" w:cs="Times New Roman"/>
            <w:sz w:val="24"/>
            <w:szCs w:val="24"/>
          </w:rPr>
          <w:t xml:space="preserve"> </w:t>
        </w:r>
      </w:hyperlink>
      <w:hyperlink r:id="rId29">
        <w:r>
          <w:rPr>
            <w:rFonts w:ascii="Times New Roman" w:eastAsia="Times New Roman" w:hAnsi="Times New Roman" w:cs="Times New Roman"/>
            <w:color w:val="1155CC"/>
            <w:sz w:val="24"/>
            <w:szCs w:val="24"/>
            <w:u w:val="single"/>
          </w:rPr>
          <w:t>https://doi.org/10.1080/15228959.2017.1411861</w:t>
        </w:r>
      </w:hyperlink>
      <w:r>
        <w:rPr>
          <w:rFonts w:ascii="Times New Roman" w:eastAsia="Times New Roman" w:hAnsi="Times New Roman" w:cs="Times New Roman"/>
          <w:sz w:val="24"/>
          <w:szCs w:val="24"/>
        </w:rPr>
        <w:t>.</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Ransom, E., and K. Wilfong. 2016. A Ne</w:t>
      </w:r>
      <w:r>
        <w:rPr>
          <w:rFonts w:ascii="Times New Roman" w:eastAsia="Times New Roman" w:hAnsi="Times New Roman" w:cs="Times New Roman"/>
          <w:sz w:val="24"/>
          <w:szCs w:val="24"/>
        </w:rPr>
        <w:t xml:space="preserve">w Approach to Marketing and Outreach for Engineering Libraries. In </w:t>
      </w:r>
      <w:r>
        <w:rPr>
          <w:rFonts w:ascii="Times New Roman" w:eastAsia="Times New Roman" w:hAnsi="Times New Roman" w:cs="Times New Roman"/>
          <w:i/>
          <w:sz w:val="24"/>
          <w:szCs w:val="24"/>
        </w:rPr>
        <w:t>ASEE Annual Conference &amp; Exposition</w:t>
      </w:r>
      <w:r>
        <w:rPr>
          <w:rFonts w:ascii="Times New Roman" w:eastAsia="Times New Roman" w:hAnsi="Times New Roman" w:cs="Times New Roman"/>
          <w:sz w:val="24"/>
          <w:szCs w:val="24"/>
        </w:rPr>
        <w:t>. American Society for Engineering Education.</w:t>
      </w:r>
      <w:hyperlink r:id="rId30">
        <w:r>
          <w:rPr>
            <w:rFonts w:ascii="Times New Roman" w:eastAsia="Times New Roman" w:hAnsi="Times New Roman" w:cs="Times New Roman"/>
            <w:sz w:val="24"/>
            <w:szCs w:val="24"/>
          </w:rPr>
          <w:t xml:space="preserve"> </w:t>
        </w:r>
      </w:hyperlink>
      <w:hyperlink r:id="rId31">
        <w:r>
          <w:rPr>
            <w:rFonts w:ascii="Times New Roman" w:eastAsia="Times New Roman" w:hAnsi="Times New Roman" w:cs="Times New Roman"/>
            <w:color w:val="1155CC"/>
            <w:sz w:val="24"/>
            <w:szCs w:val="24"/>
            <w:u w:val="single"/>
          </w:rPr>
          <w:t>http</w:t>
        </w:r>
        <w:r>
          <w:rPr>
            <w:rFonts w:ascii="Times New Roman" w:eastAsia="Times New Roman" w:hAnsi="Times New Roman" w:cs="Times New Roman"/>
            <w:color w:val="1155CC"/>
            <w:sz w:val="24"/>
            <w:szCs w:val="24"/>
            <w:u w:val="single"/>
          </w:rPr>
          <w:t>s://doi.org/10.18260/p.26374</w:t>
        </w:r>
      </w:hyperlink>
      <w:r>
        <w:rPr>
          <w:rFonts w:ascii="Times New Roman" w:eastAsia="Times New Roman" w:hAnsi="Times New Roman" w:cs="Times New Roman"/>
          <w:sz w:val="24"/>
          <w:szCs w:val="24"/>
        </w:rPr>
        <w:t>.</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Robinson, C. M., and P. Reid. 2007. Do Academic Enquiry Services Scare Students? </w:t>
      </w:r>
      <w:r>
        <w:rPr>
          <w:rFonts w:ascii="Times New Roman" w:eastAsia="Times New Roman" w:hAnsi="Times New Roman" w:cs="Times New Roman"/>
          <w:i/>
          <w:sz w:val="24"/>
          <w:szCs w:val="24"/>
        </w:rPr>
        <w:t>Reference Services Review</w:t>
      </w:r>
      <w:r>
        <w:rPr>
          <w:rFonts w:ascii="Times New Roman" w:eastAsia="Times New Roman" w:hAnsi="Times New Roman" w:cs="Times New Roman"/>
          <w:sz w:val="24"/>
          <w:szCs w:val="24"/>
        </w:rPr>
        <w:t xml:space="preserve"> 35 (3): 405–24.</w:t>
      </w:r>
      <w:hyperlink r:id="rId32">
        <w:r>
          <w:rPr>
            <w:rFonts w:ascii="Times New Roman" w:eastAsia="Times New Roman" w:hAnsi="Times New Roman" w:cs="Times New Roman"/>
            <w:sz w:val="24"/>
            <w:szCs w:val="24"/>
          </w:rPr>
          <w:t xml:space="preserve"> </w:t>
        </w:r>
      </w:hyperlink>
      <w:hyperlink r:id="rId33">
        <w:r>
          <w:rPr>
            <w:rFonts w:ascii="Times New Roman" w:eastAsia="Times New Roman" w:hAnsi="Times New Roman" w:cs="Times New Roman"/>
            <w:color w:val="1155CC"/>
            <w:sz w:val="24"/>
            <w:szCs w:val="24"/>
            <w:u w:val="single"/>
          </w:rPr>
          <w:t>https://doi.org/10.1108/00907320710774283</w:t>
        </w:r>
      </w:hyperlink>
      <w:r>
        <w:rPr>
          <w:rFonts w:ascii="Times New Roman" w:eastAsia="Times New Roman" w:hAnsi="Times New Roman" w:cs="Times New Roman"/>
          <w:sz w:val="24"/>
          <w:szCs w:val="24"/>
        </w:rPr>
        <w:t>.</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Thaler, M., C. Barber, T. Batchvarova, A.Bhalodia, D. Broz, M. Burke-Vigeland, A. Colyer, et al. 2015. The Post-Book Librarian?</w:t>
      </w:r>
      <w:hyperlink r:id="rId34">
        <w:r>
          <w:rPr>
            <w:rFonts w:ascii="Times New Roman" w:eastAsia="Times New Roman" w:hAnsi="Times New Roman" w:cs="Times New Roman"/>
            <w:sz w:val="24"/>
            <w:szCs w:val="24"/>
          </w:rPr>
          <w:t xml:space="preserve"> </w:t>
        </w:r>
      </w:hyperlink>
      <w:hyperlink r:id="rId35">
        <w:r>
          <w:rPr>
            <w:rFonts w:ascii="Times New Roman" w:eastAsia="Times New Roman" w:hAnsi="Times New Roman" w:cs="Times New Roman"/>
            <w:color w:val="1155CC"/>
            <w:sz w:val="24"/>
            <w:szCs w:val="24"/>
            <w:u w:val="single"/>
          </w:rPr>
          <w:t>https://www.gensler.com/research-in</w:t>
        </w:r>
        <w:r>
          <w:rPr>
            <w:rFonts w:ascii="Times New Roman" w:eastAsia="Times New Roman" w:hAnsi="Times New Roman" w:cs="Times New Roman"/>
            <w:color w:val="1155CC"/>
            <w:sz w:val="24"/>
            <w:szCs w:val="24"/>
            <w:u w:val="single"/>
          </w:rPr>
          <w:t>sight/gensler-research-institute/librarians-on-libraries</w:t>
        </w:r>
      </w:hyperlink>
      <w:r>
        <w:rPr>
          <w:rFonts w:ascii="Times New Roman" w:eastAsia="Times New Roman" w:hAnsi="Times New Roman" w:cs="Times New Roman"/>
          <w:sz w:val="24"/>
          <w:szCs w:val="24"/>
        </w:rPr>
        <w:t>.</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Thompson, S. M. 2018. Assessment’s Role in Building Student Support to Facilitate Change. </w:t>
      </w:r>
      <w:r>
        <w:rPr>
          <w:rFonts w:ascii="Times New Roman" w:eastAsia="Times New Roman" w:hAnsi="Times New Roman" w:cs="Times New Roman"/>
          <w:i/>
          <w:sz w:val="24"/>
          <w:szCs w:val="24"/>
        </w:rPr>
        <w:t>Performance Measurement and Metrics</w:t>
      </w:r>
      <w:r>
        <w:rPr>
          <w:rFonts w:ascii="Times New Roman" w:eastAsia="Times New Roman" w:hAnsi="Times New Roman" w:cs="Times New Roman"/>
          <w:sz w:val="24"/>
          <w:szCs w:val="24"/>
        </w:rPr>
        <w:t xml:space="preserve"> 19 (2): 101–10.</w:t>
      </w:r>
      <w:hyperlink r:id="rId36">
        <w:r>
          <w:rPr>
            <w:rFonts w:ascii="Times New Roman" w:eastAsia="Times New Roman" w:hAnsi="Times New Roman" w:cs="Times New Roman"/>
            <w:sz w:val="24"/>
            <w:szCs w:val="24"/>
          </w:rPr>
          <w:t xml:space="preserve"> </w:t>
        </w:r>
      </w:hyperlink>
      <w:hyperlink r:id="rId37">
        <w:r>
          <w:rPr>
            <w:rFonts w:ascii="Times New Roman" w:eastAsia="Times New Roman" w:hAnsi="Times New Roman" w:cs="Times New Roman"/>
            <w:color w:val="1155CC"/>
            <w:sz w:val="24"/>
            <w:szCs w:val="24"/>
            <w:u w:val="single"/>
          </w:rPr>
          <w:t>https://doi.org/10.1108/PMM-10-2017-0050</w:t>
        </w:r>
      </w:hyperlink>
      <w:r>
        <w:rPr>
          <w:rFonts w:ascii="Times New Roman" w:eastAsia="Times New Roman" w:hAnsi="Times New Roman" w:cs="Times New Roman"/>
          <w:sz w:val="24"/>
          <w:szCs w:val="24"/>
        </w:rPr>
        <w:t>.</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Torrence, M. 2015. Services and Resources to Engineers: A Case Study of Outreach and Marketing, Assessment, and Future Directions in a Research Librar</w:t>
      </w:r>
      <w:r>
        <w:rPr>
          <w:rFonts w:ascii="Times New Roman" w:eastAsia="Times New Roman" w:hAnsi="Times New Roman" w:cs="Times New Roman"/>
          <w:sz w:val="24"/>
          <w:szCs w:val="24"/>
        </w:rPr>
        <w:t xml:space="preserve">y. </w:t>
      </w:r>
      <w:r>
        <w:rPr>
          <w:rFonts w:ascii="Times New Roman" w:eastAsia="Times New Roman" w:hAnsi="Times New Roman" w:cs="Times New Roman"/>
          <w:i/>
          <w:sz w:val="24"/>
          <w:szCs w:val="24"/>
        </w:rPr>
        <w:t>Issues in Science and Technology Librarianship</w:t>
      </w:r>
      <w:r>
        <w:rPr>
          <w:rFonts w:ascii="Times New Roman" w:eastAsia="Times New Roman" w:hAnsi="Times New Roman" w:cs="Times New Roman"/>
          <w:sz w:val="24"/>
          <w:szCs w:val="24"/>
        </w:rPr>
        <w:t xml:space="preserve"> Paper 170.</w:t>
      </w:r>
      <w:hyperlink r:id="rId38">
        <w:r>
          <w:rPr>
            <w:rFonts w:ascii="Times New Roman" w:eastAsia="Times New Roman" w:hAnsi="Times New Roman" w:cs="Times New Roman"/>
            <w:sz w:val="24"/>
            <w:szCs w:val="24"/>
          </w:rPr>
          <w:t xml:space="preserve"> </w:t>
        </w:r>
      </w:hyperlink>
      <w:hyperlink r:id="rId39">
        <w:r>
          <w:rPr>
            <w:rFonts w:ascii="Times New Roman" w:eastAsia="Times New Roman" w:hAnsi="Times New Roman" w:cs="Times New Roman"/>
            <w:color w:val="1155CC"/>
            <w:sz w:val="24"/>
            <w:szCs w:val="24"/>
            <w:u w:val="single"/>
          </w:rPr>
          <w:t>https://doi.org/10.5062/F43776Q0</w:t>
        </w:r>
      </w:hyperlink>
      <w:r>
        <w:rPr>
          <w:rFonts w:ascii="Times New Roman" w:eastAsia="Times New Roman" w:hAnsi="Times New Roman" w:cs="Times New Roman"/>
          <w:sz w:val="24"/>
          <w:szCs w:val="24"/>
        </w:rPr>
        <w:t>.</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Vinyard, M., C Mullally, and J. B. Colvin. 2017. Why Do Students Seek Help in an Age of DIY? Using a Qualitative Approach to Look Beyond Statistics. Reference and User Services Quarterly 56 (4) </w:t>
      </w:r>
      <w:hyperlink r:id="rId40">
        <w:r>
          <w:rPr>
            <w:rFonts w:ascii="Times New Roman" w:eastAsia="Times New Roman" w:hAnsi="Times New Roman" w:cs="Times New Roman"/>
            <w:color w:val="1155CC"/>
            <w:sz w:val="24"/>
            <w:szCs w:val="24"/>
            <w:u w:val="single"/>
          </w:rPr>
          <w:t>https://d</w:t>
        </w:r>
        <w:r>
          <w:rPr>
            <w:rFonts w:ascii="Times New Roman" w:eastAsia="Times New Roman" w:hAnsi="Times New Roman" w:cs="Times New Roman"/>
            <w:color w:val="1155CC"/>
            <w:sz w:val="24"/>
            <w:szCs w:val="24"/>
            <w:u w:val="single"/>
          </w:rPr>
          <w:t>oi.org/10.5860/rusq.56.4</w:t>
        </w:r>
      </w:hyperlink>
      <w:r>
        <w:rPr>
          <w:rFonts w:ascii="Times New Roman" w:eastAsia="Times New Roman" w:hAnsi="Times New Roman" w:cs="Times New Roman"/>
          <w:sz w:val="24"/>
          <w:szCs w:val="24"/>
        </w:rPr>
        <w:t>.</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Wakolbinger, L. M., M. Denk, and K. Oberecker. 2009. The Effectiveness of Combining Online and Print Advertisements. </w:t>
      </w:r>
      <w:r>
        <w:rPr>
          <w:rFonts w:ascii="Times New Roman" w:eastAsia="Times New Roman" w:hAnsi="Times New Roman" w:cs="Times New Roman"/>
          <w:i/>
          <w:sz w:val="24"/>
          <w:szCs w:val="24"/>
        </w:rPr>
        <w:t>Journal of Advertising Research</w:t>
      </w:r>
      <w:r>
        <w:rPr>
          <w:rFonts w:ascii="Times New Roman" w:eastAsia="Times New Roman" w:hAnsi="Times New Roman" w:cs="Times New Roman"/>
          <w:sz w:val="24"/>
          <w:szCs w:val="24"/>
        </w:rPr>
        <w:t xml:space="preserve"> 49 (3): 360–72.</w:t>
      </w:r>
      <w:hyperlink r:id="rId41">
        <w:r>
          <w:rPr>
            <w:rFonts w:ascii="Times New Roman" w:eastAsia="Times New Roman" w:hAnsi="Times New Roman" w:cs="Times New Roman"/>
            <w:sz w:val="24"/>
            <w:szCs w:val="24"/>
          </w:rPr>
          <w:t xml:space="preserve"> </w:t>
        </w:r>
      </w:hyperlink>
      <w:hyperlink r:id="rId42">
        <w:r>
          <w:rPr>
            <w:rFonts w:ascii="Times New Roman" w:eastAsia="Times New Roman" w:hAnsi="Times New Roman" w:cs="Times New Roman"/>
            <w:color w:val="1155CC"/>
            <w:sz w:val="24"/>
            <w:szCs w:val="24"/>
            <w:u w:val="single"/>
          </w:rPr>
          <w:t>https://doi.org/10.2501/s0021849909090436</w:t>
        </w:r>
      </w:hyperlink>
      <w:r>
        <w:rPr>
          <w:rFonts w:ascii="Times New Roman" w:eastAsia="Times New Roman" w:hAnsi="Times New Roman" w:cs="Times New Roman"/>
          <w:sz w:val="24"/>
          <w:szCs w:val="24"/>
        </w:rPr>
        <w:t>.</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Whatley, K. 2009. New Roles of Liaison Librarians: A Liaison’s Perspective. </w:t>
      </w:r>
      <w:r>
        <w:rPr>
          <w:rFonts w:ascii="Times New Roman" w:eastAsia="Times New Roman" w:hAnsi="Times New Roman" w:cs="Times New Roman"/>
          <w:i/>
          <w:sz w:val="24"/>
          <w:szCs w:val="24"/>
        </w:rPr>
        <w:t>Research Library Issues</w:t>
      </w:r>
      <w:r>
        <w:rPr>
          <w:rFonts w:ascii="Times New Roman" w:eastAsia="Times New Roman" w:hAnsi="Times New Roman" w:cs="Times New Roman"/>
          <w:sz w:val="24"/>
          <w:szCs w:val="24"/>
        </w:rPr>
        <w:t>, no. 265: 29–32.</w:t>
      </w:r>
      <w:hyperlink r:id="rId43">
        <w:r>
          <w:rPr>
            <w:rFonts w:ascii="Times New Roman" w:eastAsia="Times New Roman" w:hAnsi="Times New Roman" w:cs="Times New Roman"/>
            <w:sz w:val="24"/>
            <w:szCs w:val="24"/>
          </w:rPr>
          <w:t xml:space="preserve"> </w:t>
        </w:r>
      </w:hyperlink>
      <w:hyperlink r:id="rId44">
        <w:r>
          <w:rPr>
            <w:rFonts w:ascii="Times New Roman" w:eastAsia="Times New Roman" w:hAnsi="Times New Roman" w:cs="Times New Roman"/>
            <w:color w:val="1155CC"/>
            <w:sz w:val="24"/>
            <w:szCs w:val="24"/>
            <w:u w:val="single"/>
          </w:rPr>
          <w:t>https://doi.org/10.29242/rli.265.6</w:t>
        </w:r>
      </w:hyperlink>
      <w:r>
        <w:rPr>
          <w:rFonts w:ascii="Times New Roman" w:eastAsia="Times New Roman" w:hAnsi="Times New Roman" w:cs="Times New Roman"/>
          <w:sz w:val="24"/>
          <w:szCs w:val="24"/>
        </w:rPr>
        <w:t>.</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Winning, T., V. Skinner, A. Kinnell, G. Townsend, G. Svensäter, M. Rohlin, and J. Davies. 2012. </w:t>
      </w:r>
      <w:r>
        <w:rPr>
          <w:rFonts w:ascii="Times New Roman" w:eastAsia="Times New Roman" w:hAnsi="Times New Roman" w:cs="Times New Roman"/>
          <w:i/>
          <w:sz w:val="24"/>
          <w:szCs w:val="24"/>
        </w:rPr>
        <w:t>The Influence of Two PBL Curricular Contexts on First-Y</w:t>
      </w:r>
      <w:r>
        <w:rPr>
          <w:rFonts w:ascii="Times New Roman" w:eastAsia="Times New Roman" w:hAnsi="Times New Roman" w:cs="Times New Roman"/>
          <w:i/>
          <w:sz w:val="24"/>
          <w:szCs w:val="24"/>
        </w:rPr>
        <w:t>ear Students’ Understandings of PBL, Approaches to Learning and Outcomes</w:t>
      </w:r>
      <w:r>
        <w:rPr>
          <w:rFonts w:ascii="Times New Roman" w:eastAsia="Times New Roman" w:hAnsi="Times New Roman" w:cs="Times New Roman"/>
          <w:sz w:val="24"/>
          <w:szCs w:val="24"/>
        </w:rPr>
        <w:t>.</w:t>
      </w:r>
      <w:hyperlink r:id="rId45">
        <w:r>
          <w:rPr>
            <w:rFonts w:ascii="Times New Roman" w:eastAsia="Times New Roman" w:hAnsi="Times New Roman" w:cs="Times New Roman"/>
            <w:sz w:val="24"/>
            <w:szCs w:val="24"/>
          </w:rPr>
          <w:t xml:space="preserve"> </w:t>
        </w:r>
      </w:hyperlink>
      <w:hyperlink r:id="rId46">
        <w:r>
          <w:rPr>
            <w:rFonts w:ascii="Times New Roman" w:eastAsia="Times New Roman" w:hAnsi="Times New Roman" w:cs="Times New Roman"/>
            <w:color w:val="1155CC"/>
            <w:sz w:val="24"/>
            <w:szCs w:val="24"/>
            <w:u w:val="single"/>
          </w:rPr>
          <w:t>https://doi.org/10.1007/978-94-007-2515-7_5</w:t>
        </w:r>
      </w:hyperlink>
      <w:r>
        <w:rPr>
          <w:rFonts w:ascii="Times New Roman" w:eastAsia="Times New Roman" w:hAnsi="Times New Roman" w:cs="Times New Roman"/>
          <w:sz w:val="24"/>
          <w:szCs w:val="24"/>
        </w:rPr>
        <w:t>.</w:t>
      </w:r>
    </w:p>
    <w:p w:rsidR="00AA714C" w:rsidRDefault="00E4113E">
      <w:pPr>
        <w:shd w:val="clear" w:color="auto" w:fill="FFFFFF"/>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Zhang, S. 2</w:t>
      </w:r>
      <w:r>
        <w:rPr>
          <w:rFonts w:ascii="Times New Roman" w:eastAsia="Times New Roman" w:hAnsi="Times New Roman" w:cs="Times New Roman"/>
          <w:sz w:val="24"/>
          <w:szCs w:val="24"/>
        </w:rPr>
        <w:t xml:space="preserve">019. Evolving and Unchanged: How a Series of Workshops at an Academic Library Reflects Its Roles and Values. </w:t>
      </w:r>
      <w:r>
        <w:rPr>
          <w:rFonts w:ascii="Times New Roman" w:eastAsia="Times New Roman" w:hAnsi="Times New Roman" w:cs="Times New Roman"/>
          <w:i/>
          <w:sz w:val="24"/>
          <w:szCs w:val="24"/>
        </w:rPr>
        <w:t>PNLA Quarterly</w:t>
      </w:r>
      <w:r>
        <w:rPr>
          <w:rFonts w:ascii="Times New Roman" w:eastAsia="Times New Roman" w:hAnsi="Times New Roman" w:cs="Times New Roman"/>
          <w:sz w:val="24"/>
          <w:szCs w:val="24"/>
        </w:rPr>
        <w:t xml:space="preserve"> 83 (1/2): 11–13.</w:t>
      </w:r>
    </w:p>
    <w:p w:rsidR="00AA714C" w:rsidRDefault="00E4113E">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Zickuhr, K., and K. Purcell. 2013. Library Services in the Digital Age Patrons Embrace New Technologies-and Would W</w:t>
      </w:r>
      <w:r>
        <w:rPr>
          <w:rFonts w:ascii="Times New Roman" w:eastAsia="Times New Roman" w:hAnsi="Times New Roman" w:cs="Times New Roman"/>
          <w:sz w:val="24"/>
          <w:szCs w:val="24"/>
        </w:rPr>
        <w:t>elcome More. But Many Still Want Printed Books to Hold Their Central Place. Pew Research Center. Accessed August 10, 2019.</w:t>
      </w:r>
      <w:hyperlink r:id="rId47">
        <w:r>
          <w:rPr>
            <w:rFonts w:ascii="Times New Roman" w:eastAsia="Times New Roman" w:hAnsi="Times New Roman" w:cs="Times New Roman"/>
            <w:sz w:val="24"/>
            <w:szCs w:val="24"/>
          </w:rPr>
          <w:t xml:space="preserve"> </w:t>
        </w:r>
      </w:hyperlink>
      <w:hyperlink r:id="rId48">
        <w:r>
          <w:rPr>
            <w:rFonts w:ascii="Times New Roman" w:eastAsia="Times New Roman" w:hAnsi="Times New Roman" w:cs="Times New Roman"/>
            <w:color w:val="1155CC"/>
            <w:sz w:val="24"/>
            <w:szCs w:val="24"/>
            <w:u w:val="single"/>
          </w:rPr>
          <w:t>http://libraries.pewinternet.org/2013/01/22/Library-services/</w:t>
        </w:r>
      </w:hyperlink>
      <w:r>
        <w:rPr>
          <w:rFonts w:ascii="Times New Roman" w:eastAsia="Times New Roman" w:hAnsi="Times New Roman" w:cs="Times New Roman"/>
          <w:sz w:val="24"/>
          <w:szCs w:val="24"/>
        </w:rPr>
        <w:t>.</w:t>
      </w:r>
    </w:p>
    <w:p w:rsidR="00AA714C" w:rsidRDefault="00E4113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AA714C" w:rsidRDefault="00AA714C">
      <w:pPr>
        <w:ind w:left="960" w:hanging="480"/>
        <w:rPr>
          <w:rFonts w:ascii="Times New Roman" w:eastAsia="Times New Roman" w:hAnsi="Times New Roman" w:cs="Times New Roman"/>
          <w:b/>
          <w:sz w:val="24"/>
          <w:szCs w:val="24"/>
        </w:rPr>
      </w:pPr>
    </w:p>
    <w:p w:rsidR="00AA714C" w:rsidRDefault="00AA714C">
      <w:pPr>
        <w:ind w:left="960" w:hanging="480"/>
        <w:rPr>
          <w:rFonts w:ascii="Times New Roman" w:eastAsia="Times New Roman" w:hAnsi="Times New Roman" w:cs="Times New Roman"/>
          <w:sz w:val="24"/>
          <w:szCs w:val="24"/>
        </w:rPr>
      </w:pPr>
    </w:p>
    <w:p w:rsidR="00AA714C" w:rsidRDefault="00AA714C">
      <w:pPr>
        <w:shd w:val="clear" w:color="auto" w:fill="FFFFFF"/>
        <w:ind w:left="960" w:hanging="480"/>
        <w:rPr>
          <w:color w:val="333333"/>
          <w:sz w:val="20"/>
          <w:szCs w:val="20"/>
          <w:shd w:val="clear" w:color="auto" w:fill="F5F5F5"/>
        </w:rPr>
      </w:pPr>
    </w:p>
    <w:p w:rsidR="00AA714C" w:rsidRDefault="00AA714C">
      <w:pPr>
        <w:ind w:left="960" w:hanging="480"/>
        <w:rPr>
          <w:rFonts w:ascii="Times New Roman" w:eastAsia="Times New Roman" w:hAnsi="Times New Roman" w:cs="Times New Roman"/>
          <w:sz w:val="24"/>
          <w:szCs w:val="24"/>
        </w:rPr>
      </w:pPr>
    </w:p>
    <w:p w:rsidR="00AA714C" w:rsidRDefault="00AA714C">
      <w:pPr>
        <w:rPr>
          <w:rFonts w:ascii="Times New Roman" w:eastAsia="Times New Roman" w:hAnsi="Times New Roman" w:cs="Times New Roman"/>
          <w:sz w:val="24"/>
          <w:szCs w:val="24"/>
        </w:rPr>
      </w:pPr>
    </w:p>
    <w:p w:rsidR="00AA714C" w:rsidRDefault="00AA714C">
      <w:pPr>
        <w:rPr>
          <w:rFonts w:ascii="Times New Roman" w:eastAsia="Times New Roman" w:hAnsi="Times New Roman" w:cs="Times New Roman"/>
          <w:sz w:val="24"/>
          <w:szCs w:val="24"/>
        </w:rPr>
      </w:pPr>
    </w:p>
    <w:p w:rsidR="00AA714C" w:rsidRDefault="00E4113E">
      <w:pPr>
        <w:rPr>
          <w:b/>
        </w:rPr>
      </w:pPr>
      <w:r>
        <w:rPr>
          <w:rFonts w:ascii="Times New Roman" w:eastAsia="Times New Roman" w:hAnsi="Times New Roman" w:cs="Times New Roman"/>
          <w:b/>
          <w:sz w:val="24"/>
          <w:szCs w:val="24"/>
        </w:rPr>
        <w:t xml:space="preserve">Appendix 1: Emails </w:t>
      </w:r>
      <w:r>
        <w:rPr>
          <w:b/>
        </w:rPr>
        <w:t xml:space="preserve"> </w:t>
      </w:r>
    </w:p>
    <w:p w:rsidR="00AA714C" w:rsidRDefault="00AA714C">
      <w:pPr>
        <w:jc w:val="center"/>
        <w:rPr>
          <w:b/>
        </w:rPr>
      </w:pPr>
    </w:p>
    <w:p w:rsidR="00AA714C" w:rsidRDefault="00AA714C">
      <w:pPr>
        <w:jc w:val="center"/>
      </w:pPr>
    </w:p>
    <w:p w:rsidR="00AA714C" w:rsidRDefault="00E4113E">
      <w:r>
        <w:t>An example of an email from Spring 2016:</w:t>
      </w:r>
    </w:p>
    <w:p w:rsidR="00AA714C" w:rsidRDefault="00E4113E">
      <w:r>
        <w:rPr>
          <w:noProof/>
        </w:rPr>
        <w:drawing>
          <wp:anchor distT="0" distB="0" distL="0" distR="0" simplePos="0" relativeHeight="251658240" behindDoc="0" locked="0" layoutInCell="1" hidden="0" allowOverlap="1">
            <wp:simplePos x="0" y="0"/>
            <wp:positionH relativeFrom="column">
              <wp:posOffset>-304799</wp:posOffset>
            </wp:positionH>
            <wp:positionV relativeFrom="paragraph">
              <wp:posOffset>152400</wp:posOffset>
            </wp:positionV>
            <wp:extent cx="6648450" cy="1727000"/>
            <wp:effectExtent l="0" t="0" r="0" b="0"/>
            <wp:wrapTopAndBottom distT="0" dist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9"/>
                    <a:srcRect/>
                    <a:stretch>
                      <a:fillRect/>
                    </a:stretch>
                  </pic:blipFill>
                  <pic:spPr>
                    <a:xfrm>
                      <a:off x="0" y="0"/>
                      <a:ext cx="6648450" cy="1727000"/>
                    </a:xfrm>
                    <a:prstGeom prst="rect">
                      <a:avLst/>
                    </a:prstGeom>
                    <a:ln/>
                  </pic:spPr>
                </pic:pic>
              </a:graphicData>
            </a:graphic>
          </wp:anchor>
        </w:drawing>
      </w:r>
    </w:p>
    <w:p w:rsidR="00AA714C" w:rsidRDefault="00E4113E">
      <w:r>
        <w:t xml:space="preserve">An example of an email from Fall 2016: </w:t>
      </w:r>
    </w:p>
    <w:p w:rsidR="00AA714C" w:rsidRDefault="00E4113E">
      <w:r>
        <w:rPr>
          <w:noProof/>
        </w:rPr>
        <w:drawing>
          <wp:anchor distT="114300" distB="114300" distL="114300" distR="114300" simplePos="0" relativeHeight="251659264" behindDoc="0" locked="0" layoutInCell="1" hidden="0" allowOverlap="1">
            <wp:simplePos x="0" y="0"/>
            <wp:positionH relativeFrom="column">
              <wp:posOffset>-438149</wp:posOffset>
            </wp:positionH>
            <wp:positionV relativeFrom="paragraph">
              <wp:posOffset>209550</wp:posOffset>
            </wp:positionV>
            <wp:extent cx="6648450" cy="2333350"/>
            <wp:effectExtent l="0" t="0" r="0" b="0"/>
            <wp:wrapTopAndBottom distT="114300" distB="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0"/>
                    <a:srcRect/>
                    <a:stretch>
                      <a:fillRect/>
                    </a:stretch>
                  </pic:blipFill>
                  <pic:spPr>
                    <a:xfrm>
                      <a:off x="0" y="0"/>
                      <a:ext cx="6648450" cy="2333350"/>
                    </a:xfrm>
                    <a:prstGeom prst="rect">
                      <a:avLst/>
                    </a:prstGeom>
                    <a:ln/>
                  </pic:spPr>
                </pic:pic>
              </a:graphicData>
            </a:graphic>
          </wp:anchor>
        </w:drawing>
      </w:r>
    </w:p>
    <w:p w:rsidR="00AA714C" w:rsidRDefault="00E4113E">
      <w:r>
        <w:t>An example of an email from Spring</w:t>
      </w:r>
      <w:r>
        <w:t xml:space="preserve"> 2017 &amp; Fall 2017: </w:t>
      </w:r>
      <w:r>
        <w:rPr>
          <w:noProof/>
        </w:rPr>
        <w:drawing>
          <wp:anchor distT="114300" distB="114300" distL="114300" distR="114300" simplePos="0" relativeHeight="251660288" behindDoc="0" locked="0" layoutInCell="1" hidden="0" allowOverlap="1">
            <wp:simplePos x="0" y="0"/>
            <wp:positionH relativeFrom="column">
              <wp:posOffset>-361949</wp:posOffset>
            </wp:positionH>
            <wp:positionV relativeFrom="paragraph">
              <wp:posOffset>285750</wp:posOffset>
            </wp:positionV>
            <wp:extent cx="6700408" cy="2333625"/>
            <wp:effectExtent l="0" t="0" r="0" b="0"/>
            <wp:wrapTopAndBottom distT="114300" distB="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1"/>
                    <a:srcRect/>
                    <a:stretch>
                      <a:fillRect/>
                    </a:stretch>
                  </pic:blipFill>
                  <pic:spPr>
                    <a:xfrm>
                      <a:off x="0" y="0"/>
                      <a:ext cx="6700408" cy="2333625"/>
                    </a:xfrm>
                    <a:prstGeom prst="rect">
                      <a:avLst/>
                    </a:prstGeom>
                    <a:ln/>
                  </pic:spPr>
                </pic:pic>
              </a:graphicData>
            </a:graphic>
          </wp:anchor>
        </w:drawing>
      </w:r>
    </w:p>
    <w:p w:rsidR="00AA714C" w:rsidRDefault="00E4113E">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Appendix 2: Surveys</w:t>
      </w:r>
    </w:p>
    <w:p w:rsidR="00AA714C" w:rsidRDefault="00AA714C">
      <w:pPr>
        <w:jc w:val="center"/>
      </w:pPr>
    </w:p>
    <w:p w:rsidR="00AA714C" w:rsidRDefault="00AA714C">
      <w:pPr>
        <w:jc w:val="center"/>
      </w:pPr>
    </w:p>
    <w:p w:rsidR="00AA714C" w:rsidRDefault="00AA714C">
      <w:pPr>
        <w:jc w:val="center"/>
      </w:pPr>
    </w:p>
    <w:p w:rsidR="00AA714C" w:rsidRDefault="00AA714C">
      <w:pPr>
        <w:jc w:val="center"/>
      </w:pPr>
    </w:p>
    <w:p w:rsidR="00AA714C" w:rsidRDefault="00AA714C">
      <w:pPr>
        <w:jc w:val="center"/>
      </w:pPr>
    </w:p>
    <w:p w:rsidR="00AA714C" w:rsidRDefault="00AA714C">
      <w:pPr>
        <w:jc w:val="center"/>
      </w:pPr>
    </w:p>
    <w:p w:rsidR="00AA714C" w:rsidRDefault="00AA714C">
      <w:pPr>
        <w:jc w:val="center"/>
      </w:pPr>
    </w:p>
    <w:p w:rsidR="00AA714C" w:rsidRDefault="00AA714C">
      <w:pPr>
        <w:jc w:val="center"/>
      </w:pPr>
    </w:p>
    <w:p w:rsidR="00AA714C" w:rsidRDefault="00E4113E">
      <w:pPr>
        <w:ind w:firstLine="720"/>
      </w:pPr>
      <w:r>
        <w:t xml:space="preserve">Spring 2016 and Fall 2016 </w:t>
      </w:r>
      <w:r>
        <w:tab/>
      </w:r>
      <w:r>
        <w:tab/>
      </w:r>
      <w:r>
        <w:tab/>
      </w:r>
      <w:r>
        <w:tab/>
      </w:r>
      <w:r>
        <w:tab/>
        <w:t xml:space="preserve">Spring 2017 and Fall 2017 </w:t>
      </w:r>
    </w:p>
    <w:p w:rsidR="00AA714C" w:rsidRDefault="00AA714C">
      <w:pPr>
        <w:jc w:val="center"/>
      </w:pPr>
    </w:p>
    <w:p w:rsidR="00AA714C" w:rsidRDefault="00E4113E">
      <w:pPr>
        <w:jc w:val="center"/>
      </w:pPr>
      <w:r>
        <w:rPr>
          <w:noProof/>
        </w:rPr>
        <w:drawing>
          <wp:anchor distT="114300" distB="114300" distL="114300" distR="114300" simplePos="0" relativeHeight="251661312" behindDoc="0" locked="0" layoutInCell="1" hidden="0" allowOverlap="1">
            <wp:simplePos x="0" y="0"/>
            <wp:positionH relativeFrom="column">
              <wp:posOffset>3143250</wp:posOffset>
            </wp:positionH>
            <wp:positionV relativeFrom="paragraph">
              <wp:posOffset>228600</wp:posOffset>
            </wp:positionV>
            <wp:extent cx="3257550" cy="4202642"/>
            <wp:effectExtent l="0" t="0" r="0" b="0"/>
            <wp:wrapTopAndBottom distT="114300" distB="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2"/>
                    <a:srcRect/>
                    <a:stretch>
                      <a:fillRect/>
                    </a:stretch>
                  </pic:blipFill>
                  <pic:spPr>
                    <a:xfrm>
                      <a:off x="0" y="0"/>
                      <a:ext cx="3257550" cy="4202642"/>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simplePos x="0" y="0"/>
            <wp:positionH relativeFrom="column">
              <wp:posOffset>-447674</wp:posOffset>
            </wp:positionH>
            <wp:positionV relativeFrom="paragraph">
              <wp:posOffset>228600</wp:posOffset>
            </wp:positionV>
            <wp:extent cx="3257550" cy="4207669"/>
            <wp:effectExtent l="0" t="0" r="0" b="0"/>
            <wp:wrapTopAndBottom distT="114300" distB="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3"/>
                    <a:srcRect/>
                    <a:stretch>
                      <a:fillRect/>
                    </a:stretch>
                  </pic:blipFill>
                  <pic:spPr>
                    <a:xfrm>
                      <a:off x="0" y="0"/>
                      <a:ext cx="3257550" cy="4207669"/>
                    </a:xfrm>
                    <a:prstGeom prst="rect">
                      <a:avLst/>
                    </a:prstGeom>
                    <a:ln/>
                  </pic:spPr>
                </pic:pic>
              </a:graphicData>
            </a:graphic>
          </wp:anchor>
        </w:drawing>
      </w:r>
    </w:p>
    <w:p w:rsidR="00AA714C" w:rsidRDefault="00AA714C">
      <w:pPr>
        <w:jc w:val="center"/>
      </w:pPr>
    </w:p>
    <w:p w:rsidR="00AA714C" w:rsidRDefault="00AA714C">
      <w:pPr>
        <w:jc w:val="center"/>
      </w:pPr>
    </w:p>
    <w:p w:rsidR="00AA714C" w:rsidRDefault="00AA714C"/>
    <w:p w:rsidR="00AA714C" w:rsidRDefault="00AA714C"/>
    <w:p w:rsidR="00AA714C" w:rsidRDefault="00AA714C"/>
    <w:p w:rsidR="00AA714C" w:rsidRDefault="00AA714C"/>
    <w:p w:rsidR="00AA714C" w:rsidRDefault="00AA714C"/>
    <w:p w:rsidR="00AA714C" w:rsidRDefault="00AA714C"/>
    <w:p w:rsidR="00AA714C" w:rsidRDefault="00E411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Appendix 3: Communication Methods </w:t>
      </w:r>
    </w:p>
    <w:p w:rsidR="00AA714C" w:rsidRDefault="00AA714C">
      <w:pPr>
        <w:rPr>
          <w:rFonts w:ascii="Times New Roman" w:eastAsia="Times New Roman" w:hAnsi="Times New Roman" w:cs="Times New Roman"/>
          <w:b/>
          <w:i/>
          <w:sz w:val="24"/>
          <w:szCs w:val="24"/>
        </w:rPr>
      </w:pPr>
    </w:p>
    <w:p w:rsidR="00AA714C" w:rsidRDefault="00E4113E">
      <w:r>
        <w:rPr>
          <w:rFonts w:ascii="Times New Roman" w:eastAsia="Times New Roman" w:hAnsi="Times New Roman" w:cs="Times New Roman"/>
          <w:b/>
          <w:i/>
          <w:sz w:val="24"/>
          <w:szCs w:val="24"/>
        </w:rPr>
        <w:t>Spring 2016</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5970"/>
        <w:gridCol w:w="735"/>
      </w:tblGrid>
      <w:tr w:rsidR="00AA714C">
        <w:tc>
          <w:tcPr>
            <w:tcW w:w="265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rPr>
                <w:b/>
              </w:rPr>
            </w:pPr>
            <w:r>
              <w:rPr>
                <w:b/>
              </w:rPr>
              <w:t xml:space="preserve">Communication Method </w:t>
            </w:r>
          </w:p>
        </w:tc>
        <w:tc>
          <w:tcPr>
            <w:tcW w:w="5970"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rPr>
                <w:b/>
              </w:rPr>
            </w:pPr>
            <w:r>
              <w:rPr>
                <w:b/>
              </w:rPr>
              <w:t xml:space="preserve">Description </w:t>
            </w:r>
          </w:p>
        </w:tc>
        <w:tc>
          <w:tcPr>
            <w:tcW w:w="73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rPr>
                <w:b/>
              </w:rPr>
            </w:pPr>
            <w:r>
              <w:rPr>
                <w:b/>
              </w:rPr>
              <w:t xml:space="preserve">Bitly </w:t>
            </w:r>
          </w:p>
        </w:tc>
      </w:tr>
      <w:tr w:rsidR="00AA714C">
        <w:tc>
          <w:tcPr>
            <w:tcW w:w="265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 xml:space="preserve">Email </w:t>
            </w:r>
          </w:p>
        </w:tc>
        <w:tc>
          <w:tcPr>
            <w:tcW w:w="5970"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Weekly emails to graduate students</w:t>
            </w:r>
          </w:p>
        </w:tc>
        <w:tc>
          <w:tcPr>
            <w:tcW w:w="73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 xml:space="preserve">Yes </w:t>
            </w:r>
          </w:p>
        </w:tc>
      </w:tr>
      <w:tr w:rsidR="00AA714C">
        <w:tc>
          <w:tcPr>
            <w:tcW w:w="265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 xml:space="preserve">Website blog posts </w:t>
            </w:r>
          </w:p>
        </w:tc>
        <w:tc>
          <w:tcPr>
            <w:tcW w:w="5970"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 xml:space="preserve">Blog post on Dibner website was made about one week prior to workshop and linked from the website homepage </w:t>
            </w:r>
          </w:p>
        </w:tc>
        <w:tc>
          <w:tcPr>
            <w:tcW w:w="73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Yes</w:t>
            </w:r>
          </w:p>
          <w:p w:rsidR="00AA714C" w:rsidRDefault="00AA714C">
            <w:pPr>
              <w:widowControl w:val="0"/>
              <w:pBdr>
                <w:top w:val="nil"/>
                <w:left w:val="nil"/>
                <w:bottom w:val="nil"/>
                <w:right w:val="nil"/>
                <w:between w:val="nil"/>
              </w:pBdr>
              <w:spacing w:line="240" w:lineRule="auto"/>
            </w:pPr>
          </w:p>
        </w:tc>
      </w:tr>
      <w:tr w:rsidR="00AA714C">
        <w:tc>
          <w:tcPr>
            <w:tcW w:w="265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 xml:space="preserve">SoE events calendar </w:t>
            </w:r>
          </w:p>
        </w:tc>
        <w:tc>
          <w:tcPr>
            <w:tcW w:w="5970"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 xml:space="preserve">Event posting was made about one week prior to workshop </w:t>
            </w:r>
          </w:p>
        </w:tc>
        <w:tc>
          <w:tcPr>
            <w:tcW w:w="73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Yes</w:t>
            </w:r>
          </w:p>
        </w:tc>
      </w:tr>
      <w:tr w:rsidR="00AA714C">
        <w:tc>
          <w:tcPr>
            <w:tcW w:w="265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LibGuide</w:t>
            </w:r>
          </w:p>
        </w:tc>
        <w:tc>
          <w:tcPr>
            <w:tcW w:w="5970"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 xml:space="preserve">Each week the link to the following week’s workshop was made clickable </w:t>
            </w:r>
          </w:p>
        </w:tc>
        <w:tc>
          <w:tcPr>
            <w:tcW w:w="73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Yes</w:t>
            </w:r>
          </w:p>
        </w:tc>
      </w:tr>
      <w:tr w:rsidR="00AA714C">
        <w:tc>
          <w:tcPr>
            <w:tcW w:w="265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 xml:space="preserve">Flyers </w:t>
            </w:r>
          </w:p>
        </w:tc>
        <w:tc>
          <w:tcPr>
            <w:tcW w:w="5970"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Weekly flyers for each workshop</w:t>
            </w:r>
          </w:p>
        </w:tc>
        <w:tc>
          <w:tcPr>
            <w:tcW w:w="73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Yes</w:t>
            </w:r>
          </w:p>
        </w:tc>
      </w:tr>
      <w:tr w:rsidR="00AA714C">
        <w:tc>
          <w:tcPr>
            <w:tcW w:w="265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 xml:space="preserve">Social media posts </w:t>
            </w:r>
          </w:p>
        </w:tc>
        <w:tc>
          <w:tcPr>
            <w:tcW w:w="5970"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Facebook posts appeared 2 days prior to a workshop and then again on the day of the workshop</w:t>
            </w:r>
            <w:r>
              <w:t xml:space="preserve">. These posts were mirrored to Twitter  </w:t>
            </w:r>
          </w:p>
        </w:tc>
        <w:tc>
          <w:tcPr>
            <w:tcW w:w="73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Yes</w:t>
            </w:r>
          </w:p>
        </w:tc>
      </w:tr>
      <w:tr w:rsidR="00AA714C">
        <w:tc>
          <w:tcPr>
            <w:tcW w:w="265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TV Screen</w:t>
            </w:r>
          </w:p>
        </w:tc>
        <w:tc>
          <w:tcPr>
            <w:tcW w:w="5970"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Weekly TV screen for each workshop</w:t>
            </w:r>
          </w:p>
        </w:tc>
        <w:tc>
          <w:tcPr>
            <w:tcW w:w="73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Yes</w:t>
            </w:r>
          </w:p>
        </w:tc>
      </w:tr>
      <w:tr w:rsidR="00AA714C">
        <w:tc>
          <w:tcPr>
            <w:tcW w:w="265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 xml:space="preserve">Bluu Beam application </w:t>
            </w:r>
          </w:p>
        </w:tc>
        <w:tc>
          <w:tcPr>
            <w:tcW w:w="5970"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Weekly messages about workshops were set up to go out to students who had downloaded the app, had bluetooth enabled, and were within rang</w:t>
            </w:r>
            <w:r>
              <w:t xml:space="preserve">e of our bluetooth beacons </w:t>
            </w:r>
          </w:p>
        </w:tc>
        <w:tc>
          <w:tcPr>
            <w:tcW w:w="73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Yes</w:t>
            </w:r>
          </w:p>
          <w:p w:rsidR="00AA714C" w:rsidRDefault="00AA714C">
            <w:pPr>
              <w:widowControl w:val="0"/>
              <w:pBdr>
                <w:top w:val="nil"/>
                <w:left w:val="nil"/>
                <w:bottom w:val="nil"/>
                <w:right w:val="nil"/>
                <w:between w:val="nil"/>
              </w:pBdr>
              <w:spacing w:line="240" w:lineRule="auto"/>
            </w:pPr>
          </w:p>
        </w:tc>
      </w:tr>
      <w:tr w:rsidR="00AA714C">
        <w:tc>
          <w:tcPr>
            <w:tcW w:w="265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 xml:space="preserve">PA Announcement </w:t>
            </w:r>
          </w:p>
        </w:tc>
        <w:tc>
          <w:tcPr>
            <w:tcW w:w="5970"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Announcements were made 5-10 minutes before workshops began</w:t>
            </w:r>
          </w:p>
        </w:tc>
        <w:tc>
          <w:tcPr>
            <w:tcW w:w="73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No</w:t>
            </w:r>
          </w:p>
        </w:tc>
      </w:tr>
      <w:tr w:rsidR="00AA714C">
        <w:tc>
          <w:tcPr>
            <w:tcW w:w="265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 xml:space="preserve">Survey </w:t>
            </w:r>
          </w:p>
        </w:tc>
        <w:tc>
          <w:tcPr>
            <w:tcW w:w="5970"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Surveys were given to all workshop attendees</w:t>
            </w:r>
          </w:p>
        </w:tc>
        <w:tc>
          <w:tcPr>
            <w:tcW w:w="735" w:type="dxa"/>
            <w:shd w:val="clear" w:color="auto" w:fill="auto"/>
            <w:tcMar>
              <w:top w:w="100" w:type="dxa"/>
              <w:left w:w="100" w:type="dxa"/>
              <w:bottom w:w="100" w:type="dxa"/>
              <w:right w:w="100" w:type="dxa"/>
            </w:tcMar>
          </w:tcPr>
          <w:p w:rsidR="00AA714C" w:rsidRDefault="00E4113E">
            <w:pPr>
              <w:widowControl w:val="0"/>
              <w:pBdr>
                <w:top w:val="nil"/>
                <w:left w:val="nil"/>
                <w:bottom w:val="nil"/>
                <w:right w:val="nil"/>
                <w:between w:val="nil"/>
              </w:pBdr>
              <w:spacing w:line="240" w:lineRule="auto"/>
            </w:pPr>
            <w:r>
              <w:t>No</w:t>
            </w:r>
          </w:p>
        </w:tc>
      </w:tr>
    </w:tbl>
    <w:p w:rsidR="00AA714C" w:rsidRDefault="00AA714C">
      <w:pPr>
        <w:rPr>
          <w:rFonts w:ascii="Times New Roman" w:eastAsia="Times New Roman" w:hAnsi="Times New Roman" w:cs="Times New Roman"/>
          <w:sz w:val="24"/>
          <w:szCs w:val="24"/>
        </w:rPr>
      </w:pPr>
    </w:p>
    <w:p w:rsidR="00AA714C" w:rsidRDefault="00E4113E">
      <w:r>
        <w:rPr>
          <w:rFonts w:ascii="Times New Roman" w:eastAsia="Times New Roman" w:hAnsi="Times New Roman" w:cs="Times New Roman"/>
          <w:b/>
          <w:i/>
          <w:sz w:val="24"/>
          <w:szCs w:val="24"/>
        </w:rPr>
        <w:t>Fall 2016</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5970"/>
        <w:gridCol w:w="735"/>
      </w:tblGrid>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rPr>
                <w:b/>
              </w:rPr>
            </w:pPr>
            <w:r>
              <w:rPr>
                <w:b/>
              </w:rPr>
              <w:t xml:space="preserve">Communication Method </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rPr>
                <w:b/>
              </w:rPr>
            </w:pPr>
            <w:r>
              <w:rPr>
                <w:b/>
              </w:rPr>
              <w:t xml:space="preserve">Description </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rPr>
                <w:b/>
              </w:rPr>
            </w:pPr>
            <w:r>
              <w:rPr>
                <w:b/>
              </w:rPr>
              <w:t xml:space="preserve">Bitly </w:t>
            </w: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 xml:space="preserve">Email </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 xml:space="preserve">Emails were sent every 2 weeks </w:t>
            </w:r>
          </w:p>
          <w:p w:rsidR="00AA714C" w:rsidRDefault="00E4113E">
            <w:pPr>
              <w:widowControl w:val="0"/>
              <w:spacing w:line="240" w:lineRule="auto"/>
            </w:pPr>
            <w:r>
              <w:t>Email 1: Email to all graduate students</w:t>
            </w:r>
          </w:p>
          <w:p w:rsidR="00AA714C" w:rsidRDefault="00E4113E">
            <w:pPr>
              <w:widowControl w:val="0"/>
              <w:spacing w:line="240" w:lineRule="auto"/>
            </w:pPr>
            <w:r>
              <w:t>Email 2: Mailchimp email list</w:t>
            </w:r>
          </w:p>
          <w:p w:rsidR="00AA714C" w:rsidRDefault="00E4113E">
            <w:pPr>
              <w:widowControl w:val="0"/>
              <w:spacing w:line="240" w:lineRule="auto"/>
            </w:pPr>
            <w:r>
              <w:t>Email 3: Liaison librarian emails to departments/professors</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 xml:space="preserve">Yes </w:t>
            </w: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 xml:space="preserve">Website blog posts </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 xml:space="preserve">Blog posts on Dibner library sub-page of NYU Libraries website appeared about one week prior to workshop </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Yes</w:t>
            </w:r>
          </w:p>
          <w:p w:rsidR="00AA714C" w:rsidRDefault="00AA714C">
            <w:pPr>
              <w:widowControl w:val="0"/>
              <w:spacing w:line="240" w:lineRule="auto"/>
            </w:pP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 xml:space="preserve">SoE events calendar </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 xml:space="preserve">Event posting were made about 2-3 weeks prior to workshop </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Yes</w:t>
            </w: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LibGuide</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 xml:space="preserve">A  link to the upcoming workshops was made clickable about 2-3 weeks in advance </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Yes</w:t>
            </w: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Flyers &amp; other print</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 xml:space="preserve">Flyers containing the complete workshop schedule were </w:t>
            </w:r>
            <w:r>
              <w:lastRenderedPageBreak/>
              <w:t>distributed and placed in various locations at the beginning of the semester. Bookmarks and not</w:t>
            </w:r>
            <w:r>
              <w:t>ebooks were given out at the beginning of the semester with a list of workshop topics</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lastRenderedPageBreak/>
              <w:t>Yes</w:t>
            </w: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 xml:space="preserve">Social media posts </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 xml:space="preserve">Facebook posts appeared 2 days prior to a workshop and then again on the day of the workshop. These posts were mirrored to Twitter  </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Yes</w:t>
            </w: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TV Scre</w:t>
            </w:r>
            <w:r>
              <w:t>en</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 xml:space="preserve">Semester long TV screen displayed workshop topics for the entire semester </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Yes</w:t>
            </w: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 xml:space="preserve">PA Announcement </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Announcements were made 5-10 minutes before workshops began</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No</w:t>
            </w: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 xml:space="preserve">Survey </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Surveys were given to all workshop attendees</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No</w:t>
            </w:r>
          </w:p>
        </w:tc>
      </w:tr>
    </w:tbl>
    <w:p w:rsidR="00AA714C" w:rsidRDefault="00AA714C">
      <w:pPr>
        <w:rPr>
          <w:rFonts w:ascii="Times New Roman" w:eastAsia="Times New Roman" w:hAnsi="Times New Roman" w:cs="Times New Roman"/>
          <w:sz w:val="24"/>
          <w:szCs w:val="24"/>
        </w:rPr>
      </w:pPr>
    </w:p>
    <w:p w:rsidR="00AA714C" w:rsidRDefault="00E4113E">
      <w:r>
        <w:rPr>
          <w:rFonts w:ascii="Times New Roman" w:eastAsia="Times New Roman" w:hAnsi="Times New Roman" w:cs="Times New Roman"/>
          <w:b/>
          <w:i/>
          <w:sz w:val="24"/>
          <w:szCs w:val="24"/>
        </w:rPr>
        <w:t>Spring 2017 &amp; Fall 2017</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5970"/>
        <w:gridCol w:w="735"/>
      </w:tblGrid>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rPr>
                <w:b/>
              </w:rPr>
            </w:pPr>
            <w:r>
              <w:rPr>
                <w:b/>
              </w:rPr>
              <w:t xml:space="preserve">Communication Method </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rPr>
                <w:b/>
              </w:rPr>
            </w:pPr>
            <w:r>
              <w:rPr>
                <w:b/>
              </w:rPr>
              <w:t xml:space="preserve">Description </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rPr>
                <w:b/>
              </w:rPr>
            </w:pPr>
            <w:r>
              <w:rPr>
                <w:b/>
              </w:rPr>
              <w:t xml:space="preserve">Bitly </w:t>
            </w: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 xml:space="preserve">Email </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 xml:space="preserve">Emails were sent every 2 weeks </w:t>
            </w:r>
          </w:p>
          <w:p w:rsidR="00AA714C" w:rsidRDefault="00E4113E">
            <w:pPr>
              <w:widowControl w:val="0"/>
              <w:spacing w:line="240" w:lineRule="auto"/>
            </w:pPr>
            <w:r>
              <w:t>Email 1: Emails to all graduate students</w:t>
            </w:r>
          </w:p>
          <w:p w:rsidR="00AA714C" w:rsidRDefault="00E4113E">
            <w:pPr>
              <w:widowControl w:val="0"/>
              <w:spacing w:line="240" w:lineRule="auto"/>
            </w:pPr>
            <w:r>
              <w:t xml:space="preserve">Email 2: Mailchimp email list (Only done in Spring 2017) </w:t>
            </w:r>
          </w:p>
          <w:p w:rsidR="00AA714C" w:rsidRDefault="00E4113E">
            <w:pPr>
              <w:widowControl w:val="0"/>
              <w:spacing w:line="240" w:lineRule="auto"/>
            </w:pPr>
            <w:r>
              <w:t>Email 3: Liaison librarian emails to departments/professors</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 xml:space="preserve">Yes </w:t>
            </w: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 xml:space="preserve">Website blog posts </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 xml:space="preserve">Blog posts on Dibner library sub-page of NYU Libraries website appeared about one week prior to workshop </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Yes</w:t>
            </w:r>
          </w:p>
          <w:p w:rsidR="00AA714C" w:rsidRDefault="00AA714C">
            <w:pPr>
              <w:widowControl w:val="0"/>
              <w:spacing w:line="240" w:lineRule="auto"/>
            </w:pP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 xml:space="preserve">SoE events calendar </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Event posting were made at the start of the semester</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Yes</w:t>
            </w: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LibGuide</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A link to all upcoming workshops was made clickable at the start of the semester</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Yes</w:t>
            </w: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Flyers &amp; other print</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Flyers containing the complete workshop schedule were distributed and placed in various locations at the beginning of the semester. Poster sized vers</w:t>
            </w:r>
            <w:r>
              <w:t xml:space="preserve">ions were also made and posted in a few places around the library. </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Yes</w:t>
            </w: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 xml:space="preserve">Social media posts </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 xml:space="preserve">Facebook posts appeared 2 days prior to a workshop and then again on the day of the workshop. These posts were mirrored to Twitter  </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Yes</w:t>
            </w: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TV Screen</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Semester long T</w:t>
            </w:r>
            <w:r>
              <w:t xml:space="preserve">V screen displayed workshop topics for the entire semester </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Yes</w:t>
            </w: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 xml:space="preserve">PA Announcement </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Announcements were made 5-10 minutes before workshops began</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No</w:t>
            </w:r>
          </w:p>
        </w:tc>
      </w:tr>
      <w:tr w:rsidR="00AA714C">
        <w:tc>
          <w:tcPr>
            <w:tcW w:w="2655" w:type="dxa"/>
            <w:shd w:val="clear" w:color="auto" w:fill="auto"/>
            <w:tcMar>
              <w:top w:w="100" w:type="dxa"/>
              <w:left w:w="100" w:type="dxa"/>
              <w:bottom w:w="100" w:type="dxa"/>
              <w:right w:w="100" w:type="dxa"/>
            </w:tcMar>
          </w:tcPr>
          <w:p w:rsidR="00AA714C" w:rsidRDefault="00E4113E">
            <w:pPr>
              <w:widowControl w:val="0"/>
              <w:spacing w:line="240" w:lineRule="auto"/>
            </w:pPr>
            <w:r>
              <w:t xml:space="preserve">Survey </w:t>
            </w:r>
          </w:p>
        </w:tc>
        <w:tc>
          <w:tcPr>
            <w:tcW w:w="5970" w:type="dxa"/>
            <w:shd w:val="clear" w:color="auto" w:fill="auto"/>
            <w:tcMar>
              <w:top w:w="100" w:type="dxa"/>
              <w:left w:w="100" w:type="dxa"/>
              <w:bottom w:w="100" w:type="dxa"/>
              <w:right w:w="100" w:type="dxa"/>
            </w:tcMar>
          </w:tcPr>
          <w:p w:rsidR="00AA714C" w:rsidRDefault="00E4113E">
            <w:pPr>
              <w:widowControl w:val="0"/>
              <w:spacing w:line="240" w:lineRule="auto"/>
            </w:pPr>
            <w:r>
              <w:t>Surveys were given to all workshop attendees</w:t>
            </w:r>
          </w:p>
        </w:tc>
        <w:tc>
          <w:tcPr>
            <w:tcW w:w="735" w:type="dxa"/>
            <w:shd w:val="clear" w:color="auto" w:fill="auto"/>
            <w:tcMar>
              <w:top w:w="100" w:type="dxa"/>
              <w:left w:w="100" w:type="dxa"/>
              <w:bottom w:w="100" w:type="dxa"/>
              <w:right w:w="100" w:type="dxa"/>
            </w:tcMar>
          </w:tcPr>
          <w:p w:rsidR="00AA714C" w:rsidRDefault="00E4113E">
            <w:pPr>
              <w:widowControl w:val="0"/>
              <w:spacing w:line="240" w:lineRule="auto"/>
            </w:pPr>
            <w:r>
              <w:t>No</w:t>
            </w:r>
          </w:p>
        </w:tc>
      </w:tr>
    </w:tbl>
    <w:p w:rsidR="00AA714C" w:rsidRDefault="00AA714C"/>
    <w:sectPr w:rsidR="00AA714C">
      <w:pgSz w:w="12240" w:h="15840"/>
      <w:pgMar w:top="1440" w:right="1440" w:bottom="108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3E8A"/>
    <w:multiLevelType w:val="multilevel"/>
    <w:tmpl w:val="DF4AC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E4400B"/>
    <w:multiLevelType w:val="multilevel"/>
    <w:tmpl w:val="6B424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4C"/>
    <w:rsid w:val="00AA714C"/>
    <w:rsid w:val="00E4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5CDFEF"/>
  <w15:docId w15:val="{9308A2DF-3F5E-074E-A54A-E5CCCA51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authors">
    <w:name w:val="authors"/>
    <w:basedOn w:val="DefaultParagraphFont"/>
    <w:rsid w:val="00E4113E"/>
  </w:style>
  <w:style w:type="character" w:customStyle="1" w:styleId="date">
    <w:name w:val="date"/>
    <w:basedOn w:val="DefaultParagraphFont"/>
    <w:rsid w:val="00E4113E"/>
  </w:style>
  <w:style w:type="character" w:customStyle="1" w:styleId="arttitle">
    <w:name w:val="art_title"/>
    <w:basedOn w:val="DefaultParagraphFont"/>
    <w:rsid w:val="00E4113E"/>
  </w:style>
  <w:style w:type="character" w:customStyle="1" w:styleId="serialtitle">
    <w:name w:val="serial_title"/>
    <w:basedOn w:val="DefaultParagraphFont"/>
    <w:rsid w:val="00E4113E"/>
  </w:style>
  <w:style w:type="character" w:customStyle="1" w:styleId="doilink">
    <w:name w:val="doi_link"/>
    <w:basedOn w:val="DefaultParagraphFont"/>
    <w:rsid w:val="00E4113E"/>
  </w:style>
  <w:style w:type="character" w:styleId="Hyperlink">
    <w:name w:val="Hyperlink"/>
    <w:basedOn w:val="DefaultParagraphFont"/>
    <w:uiPriority w:val="99"/>
    <w:semiHidden/>
    <w:unhideWhenUsed/>
    <w:rsid w:val="00E41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7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1639269.2016.1208561" TargetMode="External"/><Relationship Id="rId18" Type="http://schemas.openxmlformats.org/officeDocument/2006/relationships/hyperlink" Target="https://doi.org/10.5860/rusq.58.2.6929" TargetMode="External"/><Relationship Id="rId26" Type="http://schemas.openxmlformats.org/officeDocument/2006/relationships/hyperlink" Target="https://www.nyu.edu/about/news-publications/nyu-at-a-glance.html" TargetMode="External"/><Relationship Id="rId39" Type="http://schemas.openxmlformats.org/officeDocument/2006/relationships/hyperlink" Target="https://doi.org/10.5062/F43776Q0" TargetMode="External"/><Relationship Id="rId21" Type="http://schemas.openxmlformats.org/officeDocument/2006/relationships/hyperlink" Target="https://doi.org/10.18260/1-2--28260" TargetMode="External"/><Relationship Id="rId34" Type="http://schemas.openxmlformats.org/officeDocument/2006/relationships/hyperlink" Target="https://www.gensler.com/research-insight/gensler-research-institute/librarians-on-libraries" TargetMode="External"/><Relationship Id="rId42" Type="http://schemas.openxmlformats.org/officeDocument/2006/relationships/hyperlink" Target="https://doi.org/10.2501/s0021849909090436" TargetMode="External"/><Relationship Id="rId47" Type="http://schemas.openxmlformats.org/officeDocument/2006/relationships/hyperlink" Target="http://libraries.pewinternet.org/2013/01/22/Library-services/" TargetMode="External"/><Relationship Id="rId50" Type="http://schemas.openxmlformats.org/officeDocument/2006/relationships/image" Target="media/image2.png"/><Relationship Id="rId55" Type="http://schemas.openxmlformats.org/officeDocument/2006/relationships/theme" Target="theme/theme1.xml"/><Relationship Id="rId7" Type="http://schemas.openxmlformats.org/officeDocument/2006/relationships/hyperlink" Target="https://www.emerald.com/insight/search?q=Noa%20Aharony" TargetMode="External"/><Relationship Id="rId2" Type="http://schemas.openxmlformats.org/officeDocument/2006/relationships/styles" Target="styles.xml"/><Relationship Id="rId16" Type="http://schemas.openxmlformats.org/officeDocument/2006/relationships/hyperlink" Target="https://doi.org/10.1016/S0099-1333(01)00181-1" TargetMode="External"/><Relationship Id="rId29" Type="http://schemas.openxmlformats.org/officeDocument/2006/relationships/hyperlink" Target="https://doi.org/10.1080/15228959.2017.1411861" TargetMode="External"/><Relationship Id="rId11" Type="http://schemas.openxmlformats.org/officeDocument/2006/relationships/hyperlink" Target="https://doi.org/10.2501/s0021849910091555" TargetMode="External"/><Relationship Id="rId24" Type="http://schemas.openxmlformats.org/officeDocument/2006/relationships/hyperlink" Target="https://engineering.nyu.edu/about/fast-facts" TargetMode="External"/><Relationship Id="rId32" Type="http://schemas.openxmlformats.org/officeDocument/2006/relationships/hyperlink" Target="https://doi.org/10.1108/00907320710774283" TargetMode="External"/><Relationship Id="rId37" Type="http://schemas.openxmlformats.org/officeDocument/2006/relationships/hyperlink" Target="https://doi.org/10.1108/PMM-10-2017-0050" TargetMode="External"/><Relationship Id="rId40" Type="http://schemas.openxmlformats.org/officeDocument/2006/relationships/hyperlink" Target="https://doi.org/10.5860/rusq.56.4" TargetMode="External"/><Relationship Id="rId45" Type="http://schemas.openxmlformats.org/officeDocument/2006/relationships/hyperlink" Target="https://doi.org/10.1007/978-94-007-2515-7_5" TargetMode="External"/><Relationship Id="rId53" Type="http://schemas.openxmlformats.org/officeDocument/2006/relationships/image" Target="media/image5.png"/><Relationship Id="rId5" Type="http://schemas.openxmlformats.org/officeDocument/2006/relationships/hyperlink" Target="mailto:landerberg@nyu.edu" TargetMode="External"/><Relationship Id="rId10" Type="http://schemas.openxmlformats.org/officeDocument/2006/relationships/hyperlink" Target="https://doi.org/10.1080/02763877.2015.1096227" TargetMode="External"/><Relationship Id="rId19" Type="http://schemas.openxmlformats.org/officeDocument/2006/relationships/hyperlink" Target="https://doi.org/10.5860/rusq.58.2.6929" TargetMode="External"/><Relationship Id="rId31" Type="http://schemas.openxmlformats.org/officeDocument/2006/relationships/hyperlink" Target="https://doi.org/10.18260/p.26374" TargetMode="External"/><Relationship Id="rId44" Type="http://schemas.openxmlformats.org/officeDocument/2006/relationships/hyperlink" Target="https://doi.org/10.29242/rli.265.6" TargetMode="External"/><Relationship Id="rId52"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doi.org/10.1080/02763877.2015.1096227" TargetMode="External"/><Relationship Id="rId14" Type="http://schemas.openxmlformats.org/officeDocument/2006/relationships/hyperlink" Target="https://doi.org/10.1080/01639269.2016.1208561" TargetMode="External"/><Relationship Id="rId22" Type="http://schemas.openxmlformats.org/officeDocument/2006/relationships/hyperlink" Target="https://doi.org/10.1080/15332969.2014.946875" TargetMode="External"/><Relationship Id="rId27" Type="http://schemas.openxmlformats.org/officeDocument/2006/relationships/hyperlink" Target="https://www.nyu.edu/about/news-publications/nyu-at-a-glance.html" TargetMode="External"/><Relationship Id="rId30" Type="http://schemas.openxmlformats.org/officeDocument/2006/relationships/hyperlink" Target="https://doi.org/10.18260/p.26374" TargetMode="External"/><Relationship Id="rId35" Type="http://schemas.openxmlformats.org/officeDocument/2006/relationships/hyperlink" Target="https://www.gensler.com/research-insight/gensler-research-institute/librarians-on-libraries" TargetMode="External"/><Relationship Id="rId43" Type="http://schemas.openxmlformats.org/officeDocument/2006/relationships/hyperlink" Target="https://doi.org/10.29242/rli.265.6" TargetMode="External"/><Relationship Id="rId48" Type="http://schemas.openxmlformats.org/officeDocument/2006/relationships/hyperlink" Target="http://libraries.pewinternet.org/2013/01/22/Library-services/" TargetMode="External"/><Relationship Id="rId8" Type="http://schemas.openxmlformats.org/officeDocument/2006/relationships/hyperlink" Target="https://doi.org/10.1108/00012531211244725" TargetMode="External"/><Relationship Id="rId51"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yperlink" Target="https://doi.org/10.2501/s0021849910091555" TargetMode="External"/><Relationship Id="rId17" Type="http://schemas.openxmlformats.org/officeDocument/2006/relationships/hyperlink" Target="https://doi.org/10.1016/S0099-1333(01)00181-1" TargetMode="External"/><Relationship Id="rId25" Type="http://schemas.openxmlformats.org/officeDocument/2006/relationships/hyperlink" Target="https://engineering.nyu.edu/about/fast-facts" TargetMode="External"/><Relationship Id="rId33" Type="http://schemas.openxmlformats.org/officeDocument/2006/relationships/hyperlink" Target="https://doi.org/10.1108/00907320710774283" TargetMode="External"/><Relationship Id="rId38" Type="http://schemas.openxmlformats.org/officeDocument/2006/relationships/hyperlink" Target="https://doi.org/10.5062/F43776Q0" TargetMode="External"/><Relationship Id="rId46" Type="http://schemas.openxmlformats.org/officeDocument/2006/relationships/hyperlink" Target="https://doi.org/10.1007/978-94-007-2515-7_5" TargetMode="External"/><Relationship Id="rId20" Type="http://schemas.openxmlformats.org/officeDocument/2006/relationships/hyperlink" Target="https://doi.org/10.18260/1-2--28260" TargetMode="External"/><Relationship Id="rId41" Type="http://schemas.openxmlformats.org/officeDocument/2006/relationships/hyperlink" Target="https://doi.org/10.2501/s0021849909090436"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80/0194262X.2019.1659210" TargetMode="External"/><Relationship Id="rId15" Type="http://schemas.openxmlformats.org/officeDocument/2006/relationships/hyperlink" Target="http://dx.doi.org/10.1108/00907321211254643" TargetMode="External"/><Relationship Id="rId23" Type="http://schemas.openxmlformats.org/officeDocument/2006/relationships/hyperlink" Target="https://doi.org/10.1080/15332969.2014.946875" TargetMode="External"/><Relationship Id="rId28" Type="http://schemas.openxmlformats.org/officeDocument/2006/relationships/hyperlink" Target="https://doi.org/10.1080/15228959.2017.1411861" TargetMode="External"/><Relationship Id="rId36" Type="http://schemas.openxmlformats.org/officeDocument/2006/relationships/hyperlink" Target="https://doi.org/10.1108/PMM-10-2017-0050" TargetMode="External"/><Relationship Id="rId4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8259</Words>
  <Characters>47080</Characters>
  <Application>Microsoft Office Word</Application>
  <DocSecurity>0</DocSecurity>
  <Lines>392</Lines>
  <Paragraphs>110</Paragraphs>
  <ScaleCrop>false</ScaleCrop>
  <Company/>
  <LinksUpToDate>false</LinksUpToDate>
  <CharactersWithSpaces>55229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2019-12-04T14:45:00Z</dcterms:created>
  <dcterms:modified xsi:type="dcterms:W3CDTF">2019-12-04T14:45:00Z</dcterms:modified>
</cp:coreProperties>
</file>