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BACE" w14:textId="77777777" w:rsidR="001545BF" w:rsidRPr="007D7557" w:rsidRDefault="001545BF" w:rsidP="001545BF">
      <w:pPr>
        <w:spacing w:after="0" w:line="480" w:lineRule="auto"/>
        <w:jc w:val="center"/>
        <w:rPr>
          <w:rFonts w:ascii="Times New Roman" w:eastAsia="Times New Roman" w:hAnsi="Times New Roman" w:cs="Times New Roman"/>
          <w:sz w:val="24"/>
          <w:szCs w:val="24"/>
        </w:rPr>
      </w:pPr>
    </w:p>
    <w:p w14:paraId="2677B2E7" w14:textId="35C4C86A" w:rsidR="001545BF" w:rsidRPr="007D7557" w:rsidRDefault="001545BF" w:rsidP="001545BF">
      <w:pPr>
        <w:spacing w:after="0"/>
        <w:jc w:val="center"/>
        <w:rPr>
          <w:rFonts w:ascii="Times New Roman" w:eastAsia="Times New Roman" w:hAnsi="Times New Roman" w:cs="Times New Roman"/>
          <w:b/>
          <w:sz w:val="24"/>
          <w:szCs w:val="24"/>
        </w:rPr>
      </w:pPr>
      <w:r w:rsidRPr="007D7557">
        <w:rPr>
          <w:rFonts w:ascii="Times New Roman" w:eastAsia="Times New Roman" w:hAnsi="Times New Roman" w:cs="Times New Roman"/>
          <w:b/>
          <w:sz w:val="24"/>
          <w:szCs w:val="24"/>
        </w:rPr>
        <w:t>Productive Aging Shapes Economic, Health</w:t>
      </w:r>
      <w:r w:rsidR="007209E3" w:rsidRPr="007D7557">
        <w:rPr>
          <w:rFonts w:ascii="Times New Roman" w:eastAsia="Times New Roman" w:hAnsi="Times New Roman" w:cs="Times New Roman"/>
          <w:b/>
          <w:sz w:val="24"/>
          <w:szCs w:val="24"/>
        </w:rPr>
        <w:t>,</w:t>
      </w:r>
      <w:r w:rsidRPr="007D7557">
        <w:rPr>
          <w:rFonts w:ascii="Times New Roman" w:eastAsia="Times New Roman" w:hAnsi="Times New Roman" w:cs="Times New Roman"/>
          <w:b/>
          <w:sz w:val="24"/>
          <w:szCs w:val="24"/>
        </w:rPr>
        <w:t xml:space="preserve"> and Social Outcomes</w:t>
      </w:r>
    </w:p>
    <w:p w14:paraId="4F177E35" w14:textId="77777777" w:rsidR="001545BF" w:rsidRPr="007D7557" w:rsidRDefault="001545BF" w:rsidP="001545BF">
      <w:pPr>
        <w:spacing w:after="0" w:line="480" w:lineRule="auto"/>
        <w:rPr>
          <w:rFonts w:ascii="Times New Roman" w:eastAsia="Times New Roman" w:hAnsi="Times New Roman" w:cs="Times New Roman"/>
          <w:b/>
          <w:sz w:val="24"/>
          <w:szCs w:val="24"/>
        </w:rPr>
      </w:pPr>
    </w:p>
    <w:p w14:paraId="535199EF" w14:textId="77777777" w:rsidR="001545BF" w:rsidRPr="007D7557" w:rsidRDefault="001545BF" w:rsidP="001545BF">
      <w:pPr>
        <w:spacing w:after="0" w:line="480" w:lineRule="auto"/>
        <w:rPr>
          <w:rFonts w:ascii="Times New Roman" w:eastAsia="Times New Roman" w:hAnsi="Times New Roman" w:cs="Times New Roman"/>
          <w:sz w:val="24"/>
          <w:szCs w:val="24"/>
        </w:rPr>
      </w:pPr>
      <w:r w:rsidRPr="007D7557">
        <w:rPr>
          <w:rFonts w:ascii="Times New Roman" w:eastAsia="Times New Roman" w:hAnsi="Times New Roman" w:cs="Times New Roman"/>
          <w:b/>
          <w:sz w:val="24"/>
          <w:szCs w:val="24"/>
        </w:rPr>
        <w:t>Authors</w:t>
      </w:r>
    </w:p>
    <w:p w14:paraId="7C8B4820" w14:textId="6A11E0F1" w:rsidR="001545BF" w:rsidRPr="007D7557" w:rsidRDefault="001545BF" w:rsidP="001545BF">
      <w:pPr>
        <w:spacing w:after="0" w:line="480" w:lineRule="auto"/>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Ernest Gonzales, PhD, Associate Professor and James Weldon Johnson Professor of Social Work at New York University, Silver School of Social Work, Director to Center for Health and Aging Innovation</w:t>
      </w:r>
      <w:r w:rsidR="007209E3" w:rsidRPr="007D7557">
        <w:rPr>
          <w:rFonts w:ascii="Times New Roman" w:eastAsia="Times New Roman" w:hAnsi="Times New Roman" w:cs="Times New Roman"/>
          <w:sz w:val="24"/>
          <w:szCs w:val="24"/>
        </w:rPr>
        <w:t xml:space="preserve">, New York, NY. Email: </w:t>
      </w:r>
      <w:hyperlink r:id="rId7">
        <w:r w:rsidRPr="007D7557">
          <w:rPr>
            <w:rFonts w:ascii="Times New Roman" w:eastAsia="Times New Roman" w:hAnsi="Times New Roman" w:cs="Times New Roman"/>
            <w:color w:val="1155CC"/>
            <w:sz w:val="24"/>
            <w:szCs w:val="24"/>
            <w:u w:val="single"/>
          </w:rPr>
          <w:t>geg2000@nyu.edu</w:t>
        </w:r>
      </w:hyperlink>
    </w:p>
    <w:p w14:paraId="43137733" w14:textId="141BB82B" w:rsidR="00576800" w:rsidRPr="007D7557" w:rsidRDefault="00576800" w:rsidP="001545BF">
      <w:pPr>
        <w:spacing w:after="0" w:line="480" w:lineRule="auto"/>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Yeonjung Jane Lee, PhD, Associate Professor, Department of Social Work, Thompson School of Social Work &amp; Public Health, University of </w:t>
      </w:r>
      <w:proofErr w:type="spellStart"/>
      <w:r w:rsidRPr="007D7557">
        <w:rPr>
          <w:rFonts w:ascii="Times New Roman" w:eastAsia="Times New Roman" w:hAnsi="Times New Roman" w:cs="Times New Roman"/>
          <w:sz w:val="24"/>
          <w:szCs w:val="24"/>
        </w:rPr>
        <w:t>Hawaiʻi</w:t>
      </w:r>
      <w:proofErr w:type="spellEnd"/>
      <w:r w:rsidRPr="007D7557">
        <w:rPr>
          <w:rFonts w:ascii="Times New Roman" w:eastAsia="Times New Roman" w:hAnsi="Times New Roman" w:cs="Times New Roman"/>
          <w:sz w:val="24"/>
          <w:szCs w:val="24"/>
        </w:rPr>
        <w:t xml:space="preserve"> at </w:t>
      </w:r>
      <w:proofErr w:type="spellStart"/>
      <w:r w:rsidRPr="007D7557">
        <w:rPr>
          <w:rFonts w:ascii="Times New Roman" w:eastAsia="Times New Roman" w:hAnsi="Times New Roman" w:cs="Times New Roman"/>
          <w:sz w:val="24"/>
          <w:szCs w:val="24"/>
        </w:rPr>
        <w:t>Mānoa</w:t>
      </w:r>
      <w:proofErr w:type="spellEnd"/>
      <w:r w:rsidRPr="007D7557">
        <w:rPr>
          <w:rFonts w:ascii="Times New Roman" w:eastAsia="Times New Roman" w:hAnsi="Times New Roman" w:cs="Times New Roman"/>
          <w:sz w:val="24"/>
          <w:szCs w:val="24"/>
        </w:rPr>
        <w:t>, Honolulu, HI</w:t>
      </w:r>
      <w:r w:rsidR="007209E3" w:rsidRPr="007D7557">
        <w:rPr>
          <w:rFonts w:ascii="Times New Roman" w:eastAsia="Times New Roman" w:hAnsi="Times New Roman" w:cs="Times New Roman"/>
          <w:sz w:val="24"/>
          <w:szCs w:val="24"/>
        </w:rPr>
        <w:t xml:space="preserve">. Email: </w:t>
      </w:r>
      <w:hyperlink r:id="rId8" w:history="1">
        <w:r w:rsidR="007209E3" w:rsidRPr="007D7557">
          <w:rPr>
            <w:rStyle w:val="Hyperlink"/>
            <w:rFonts w:ascii="Times New Roman" w:hAnsi="Times New Roman" w:cs="Times New Roman"/>
            <w:sz w:val="24"/>
            <w:szCs w:val="24"/>
          </w:rPr>
          <w:t>yeonjung@hawaii.edu</w:t>
        </w:r>
      </w:hyperlink>
      <w:r w:rsidR="007209E3" w:rsidRPr="007D7557">
        <w:rPr>
          <w:rStyle w:val="go"/>
          <w:rFonts w:ascii="Times New Roman" w:hAnsi="Times New Roman" w:cs="Times New Roman"/>
          <w:sz w:val="24"/>
          <w:szCs w:val="24"/>
        </w:rPr>
        <w:t xml:space="preserve">. </w:t>
      </w:r>
    </w:p>
    <w:p w14:paraId="52919462" w14:textId="77777777" w:rsidR="007209E3" w:rsidRPr="007D7557" w:rsidRDefault="001545BF" w:rsidP="007209E3">
      <w:pPr>
        <w:spacing w:after="0" w:line="480" w:lineRule="auto"/>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Cliff Whetung, </w:t>
      </w:r>
      <w:r w:rsidR="00576800" w:rsidRPr="007D7557">
        <w:rPr>
          <w:rFonts w:ascii="Times New Roman" w:eastAsia="Times New Roman" w:hAnsi="Times New Roman" w:cs="Times New Roman"/>
          <w:sz w:val="24"/>
          <w:szCs w:val="24"/>
        </w:rPr>
        <w:t xml:space="preserve">PhD, </w:t>
      </w:r>
      <w:r w:rsidR="007209E3" w:rsidRPr="007D7557">
        <w:rPr>
          <w:rFonts w:ascii="Times New Roman" w:eastAsia="Times New Roman" w:hAnsi="Times New Roman" w:cs="Times New Roman"/>
          <w:sz w:val="24"/>
          <w:szCs w:val="24"/>
        </w:rPr>
        <w:t xml:space="preserve">Assistant Professor, Memory Keepers Medical Discovery Team, Health Equity, Department of Family Medicine and Biobehavioral Health, University of Minnesota Medical School, Duluth, MN. Email: </w:t>
      </w:r>
      <w:hyperlink r:id="rId9" w:history="1">
        <w:r w:rsidR="007209E3" w:rsidRPr="007D7557">
          <w:rPr>
            <w:rStyle w:val="Hyperlink"/>
            <w:rFonts w:ascii="Times New Roman" w:eastAsia="Times New Roman" w:hAnsi="Times New Roman" w:cs="Times New Roman"/>
            <w:sz w:val="24"/>
            <w:szCs w:val="24"/>
          </w:rPr>
          <w:t>cwhetung@d.umn.edu</w:t>
        </w:r>
      </w:hyperlink>
      <w:r w:rsidR="007209E3" w:rsidRPr="007D7557">
        <w:rPr>
          <w:rFonts w:ascii="Times New Roman" w:eastAsia="Times New Roman" w:hAnsi="Times New Roman" w:cs="Times New Roman"/>
          <w:sz w:val="24"/>
          <w:szCs w:val="24"/>
        </w:rPr>
        <w:t>.</w:t>
      </w:r>
    </w:p>
    <w:p w14:paraId="6C14C911" w14:textId="4063DFE8" w:rsidR="001545BF" w:rsidRPr="007D7557" w:rsidRDefault="00576800" w:rsidP="007209E3">
      <w:pPr>
        <w:spacing w:after="0" w:line="480" w:lineRule="auto"/>
        <w:ind w:left="720" w:hanging="720"/>
        <w:rPr>
          <w:rFonts w:ascii="Times New Roman" w:eastAsia="Times New Roman" w:hAnsi="Times New Roman" w:cs="Times New Roman"/>
          <w:sz w:val="24"/>
          <w:szCs w:val="24"/>
        </w:rPr>
      </w:pPr>
      <w:r w:rsidRPr="007D7557">
        <w:rPr>
          <w:rFonts w:ascii="Times New Roman" w:hAnsi="Times New Roman" w:cs="Times New Roman"/>
          <w:sz w:val="24"/>
          <w:szCs w:val="24"/>
        </w:rPr>
        <w:t xml:space="preserve">Yi Wang, PhD, Assistant Professor, School of Social Work, </w:t>
      </w:r>
      <w:r w:rsidR="007209E3" w:rsidRPr="007D7557">
        <w:rPr>
          <w:rFonts w:ascii="Times New Roman" w:hAnsi="Times New Roman" w:cs="Times New Roman"/>
          <w:sz w:val="24"/>
          <w:szCs w:val="24"/>
        </w:rPr>
        <w:t xml:space="preserve">College of Liberal Arts and Sciences, University of Iowa, Iowa City, IA. Email: </w:t>
      </w:r>
      <w:hyperlink r:id="rId10" w:history="1">
        <w:r w:rsidR="007209E3" w:rsidRPr="007D7557">
          <w:rPr>
            <w:rStyle w:val="Hyperlink"/>
            <w:rFonts w:ascii="Times New Roman" w:hAnsi="Times New Roman" w:cs="Times New Roman"/>
            <w:sz w:val="24"/>
            <w:szCs w:val="24"/>
          </w:rPr>
          <w:t>yi-wang-5@uiowa.edu</w:t>
        </w:r>
      </w:hyperlink>
      <w:r w:rsidR="007209E3" w:rsidRPr="007D7557">
        <w:rPr>
          <w:rFonts w:ascii="Times New Roman" w:hAnsi="Times New Roman" w:cs="Times New Roman"/>
          <w:sz w:val="24"/>
          <w:szCs w:val="24"/>
        </w:rPr>
        <w:t xml:space="preserve">. </w:t>
      </w:r>
    </w:p>
    <w:p w14:paraId="4A49D8DA" w14:textId="77777777" w:rsidR="007209E3" w:rsidRPr="007D7557" w:rsidRDefault="007209E3" w:rsidP="001545BF">
      <w:pPr>
        <w:spacing w:after="0" w:line="480" w:lineRule="auto"/>
        <w:rPr>
          <w:rFonts w:ascii="Times New Roman" w:hAnsi="Times New Roman" w:cs="Times New Roman"/>
          <w:i/>
          <w:sz w:val="24"/>
          <w:szCs w:val="24"/>
          <w:u w:val="single"/>
        </w:rPr>
      </w:pPr>
    </w:p>
    <w:p w14:paraId="546B103F" w14:textId="5E930C40" w:rsidR="001545BF" w:rsidRPr="007D7557" w:rsidRDefault="001545BF" w:rsidP="001545BF">
      <w:pPr>
        <w:spacing w:after="0" w:line="480" w:lineRule="auto"/>
        <w:rPr>
          <w:rFonts w:ascii="Times New Roman" w:hAnsi="Times New Roman" w:cs="Times New Roman"/>
          <w:i/>
          <w:sz w:val="24"/>
          <w:szCs w:val="24"/>
          <w:u w:val="single"/>
        </w:rPr>
      </w:pPr>
      <w:r w:rsidRPr="007D7557">
        <w:rPr>
          <w:rFonts w:ascii="Times New Roman" w:hAnsi="Times New Roman" w:cs="Times New Roman"/>
          <w:i/>
          <w:sz w:val="24"/>
          <w:szCs w:val="24"/>
          <w:u w:val="single"/>
        </w:rPr>
        <w:t>Citation</w:t>
      </w:r>
    </w:p>
    <w:p w14:paraId="2A5B3148" w14:textId="41A8C552" w:rsidR="001545BF" w:rsidRPr="007D7557" w:rsidRDefault="001545BF" w:rsidP="001545BF">
      <w:pPr>
        <w:spacing w:after="0" w:line="480" w:lineRule="auto"/>
        <w:rPr>
          <w:rFonts w:ascii="Times New Roman" w:eastAsia="Times New Roman" w:hAnsi="Times New Roman" w:cs="Times New Roman"/>
          <w:b/>
          <w:sz w:val="24"/>
          <w:szCs w:val="24"/>
        </w:rPr>
      </w:pPr>
      <w:r w:rsidRPr="007D7557">
        <w:rPr>
          <w:rFonts w:ascii="Times New Roman" w:hAnsi="Times New Roman" w:cs="Times New Roman"/>
          <w:sz w:val="24"/>
          <w:szCs w:val="24"/>
        </w:rPr>
        <w:t xml:space="preserve">Gonzales, E., </w:t>
      </w:r>
      <w:r w:rsidR="007209E3" w:rsidRPr="007D7557">
        <w:rPr>
          <w:rFonts w:ascii="Times New Roman" w:hAnsi="Times New Roman" w:cs="Times New Roman"/>
          <w:sz w:val="24"/>
          <w:szCs w:val="24"/>
        </w:rPr>
        <w:t xml:space="preserve">Lee, Y.J., Whetung, C., &amp; Wang, Y. </w:t>
      </w:r>
      <w:r w:rsidRPr="007D7557">
        <w:rPr>
          <w:rFonts w:ascii="Times New Roman" w:hAnsi="Times New Roman" w:cs="Times New Roman"/>
          <w:sz w:val="24"/>
          <w:szCs w:val="24"/>
        </w:rPr>
        <w:t>(202</w:t>
      </w:r>
      <w:r w:rsidR="00A26F2F">
        <w:rPr>
          <w:rFonts w:ascii="Times New Roman" w:hAnsi="Times New Roman" w:cs="Times New Roman"/>
          <w:sz w:val="24"/>
          <w:szCs w:val="24"/>
        </w:rPr>
        <w:t>6</w:t>
      </w:r>
      <w:r w:rsidRPr="007D7557">
        <w:rPr>
          <w:rFonts w:ascii="Times New Roman" w:hAnsi="Times New Roman" w:cs="Times New Roman"/>
          <w:sz w:val="24"/>
          <w:szCs w:val="24"/>
        </w:rPr>
        <w:t xml:space="preserve">). </w:t>
      </w:r>
      <w:r w:rsidR="007209E3" w:rsidRPr="007D7557">
        <w:rPr>
          <w:rFonts w:ascii="Times New Roman" w:hAnsi="Times New Roman" w:cs="Times New Roman"/>
          <w:sz w:val="24"/>
          <w:szCs w:val="24"/>
        </w:rPr>
        <w:t>Productive Aging Shapes Economic, Health, and Social Outcomes.</w:t>
      </w:r>
      <w:r w:rsidRPr="007D7557">
        <w:rPr>
          <w:rFonts w:ascii="Times New Roman" w:hAnsi="Times New Roman" w:cs="Times New Roman"/>
          <w:sz w:val="24"/>
          <w:szCs w:val="24"/>
        </w:rPr>
        <w:t xml:space="preserve"> Working Paper Series at The Center for Health and Aging Innovation, </w:t>
      </w:r>
      <w:hyperlink r:id="rId11" w:history="1">
        <w:r w:rsidR="00800F05" w:rsidRPr="00800F05">
          <w:rPr>
            <w:rStyle w:val="Hyperlink"/>
            <w:rFonts w:ascii="Times New Roman" w:hAnsi="Times New Roman" w:cs="Times New Roman"/>
            <w:sz w:val="24"/>
            <w:szCs w:val="24"/>
          </w:rPr>
          <w:t>http://hdl.handle.net/2451/75576</w:t>
        </w:r>
      </w:hyperlink>
      <w:r w:rsidRPr="007D7557">
        <w:rPr>
          <w:rFonts w:ascii="Times New Roman" w:hAnsi="Times New Roman" w:cs="Times New Roman"/>
          <w:sz w:val="24"/>
          <w:szCs w:val="24"/>
        </w:rPr>
        <w:t xml:space="preserve">. </w:t>
      </w:r>
      <w:r w:rsidRPr="007D7557">
        <w:rPr>
          <w:rFonts w:ascii="Times New Roman" w:hAnsi="Times New Roman" w:cs="Times New Roman"/>
          <w:sz w:val="24"/>
          <w:szCs w:val="24"/>
        </w:rPr>
        <w:br w:type="page"/>
      </w:r>
    </w:p>
    <w:p w14:paraId="00000017" w14:textId="52C79922" w:rsidR="0018618B" w:rsidRPr="007D7557" w:rsidRDefault="00001F30" w:rsidP="006354E7">
      <w:pPr>
        <w:spacing w:after="0"/>
        <w:jc w:val="center"/>
        <w:rPr>
          <w:rFonts w:ascii="Times New Roman" w:eastAsia="Times New Roman" w:hAnsi="Times New Roman" w:cs="Times New Roman"/>
          <w:b/>
          <w:sz w:val="24"/>
          <w:szCs w:val="24"/>
        </w:rPr>
      </w:pPr>
      <w:r w:rsidRPr="007D7557">
        <w:rPr>
          <w:rFonts w:ascii="Times New Roman" w:eastAsia="Times New Roman" w:hAnsi="Times New Roman" w:cs="Times New Roman"/>
          <w:b/>
          <w:sz w:val="24"/>
          <w:szCs w:val="24"/>
        </w:rPr>
        <w:lastRenderedPageBreak/>
        <w:t>Productive Aging Shapes Economic, Health and Social Outcomes</w:t>
      </w:r>
    </w:p>
    <w:p w14:paraId="1704DC5E" w14:textId="3C2583C5" w:rsidR="00124E7F" w:rsidRPr="007D7557" w:rsidRDefault="00E31463" w:rsidP="00E31463">
      <w:pPr>
        <w:pStyle w:val="NormalWeb"/>
      </w:pPr>
      <w:r w:rsidRPr="007D7557">
        <w:t>The United States population is rapidly aging and becoming far more diverse than in the past</w:t>
      </w:r>
      <w:r w:rsidR="00001F30" w:rsidRPr="007D7557">
        <w:t xml:space="preserve">, </w:t>
      </w:r>
      <w:r w:rsidRPr="007D7557">
        <w:t xml:space="preserve">leading to concerns about the solvency of social insurance programs like Social Security and Medicare, as well as the overall well-being of older adults. While acknowledging these challenges, the concept of productive aging emphasizes the need to create opportunities through social policy that allow older adults to remain engaged in employment, volunteering, and caregiving for their own benefit and the benefit of society. This commentary focuses on summarizing research across these productive aging domains, examining their economic, health, and social outcomes to inform future research and </w:t>
      </w:r>
      <w:r w:rsidR="00771584" w:rsidRPr="007D7557">
        <w:t xml:space="preserve">social </w:t>
      </w:r>
      <w:r w:rsidRPr="007D7557">
        <w:t>policy.</w:t>
      </w:r>
    </w:p>
    <w:p w14:paraId="00000019" w14:textId="6E11ADB8" w:rsidR="0018618B" w:rsidRPr="007D7557" w:rsidRDefault="00001F30">
      <w:pPr>
        <w:jc w:val="center"/>
        <w:rPr>
          <w:rFonts w:ascii="Times New Roman" w:eastAsia="Times New Roman" w:hAnsi="Times New Roman" w:cs="Times New Roman"/>
          <w:b/>
          <w:sz w:val="24"/>
          <w:szCs w:val="24"/>
        </w:rPr>
      </w:pPr>
      <w:r w:rsidRPr="007D7557">
        <w:rPr>
          <w:rFonts w:ascii="Times New Roman" w:eastAsia="Times New Roman" w:hAnsi="Times New Roman" w:cs="Times New Roman"/>
          <w:b/>
          <w:sz w:val="24"/>
          <w:szCs w:val="24"/>
        </w:rPr>
        <w:t>Employment as a Social Determinant of Health</w:t>
      </w:r>
    </w:p>
    <w:p w14:paraId="0000001A" w14:textId="67A636D4" w:rsidR="0018618B" w:rsidRPr="007D7557" w:rsidRDefault="00001F30">
      <w:pPr>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Working longer is a partial solution to the solvency of social insurance programs, namely Social Security, and to bolster older adults’ economic well-being. In 2024, approximately 20% of older adults (65+) in the United States participated in the labor force (23% of men and 16% of women; Wilkins, 2025). Their contribution to the U.S. economy was valued at approximately $8.3 trillion annually, representing 40% of the US GDP (AARP, 2022). Although rarely acknowledged, work is a social determinant of health (Ahonen et al., 2018) as it directly impacts economic security, mental and physical health, and social connection. </w:t>
      </w:r>
      <w:r w:rsidR="00F91C64" w:rsidRPr="007D7557">
        <w:rPr>
          <w:rFonts w:ascii="Times New Roman" w:eastAsia="Times New Roman" w:hAnsi="Times New Roman" w:cs="Times New Roman"/>
          <w:sz w:val="24"/>
          <w:szCs w:val="24"/>
        </w:rPr>
        <w:t>A growing body of research suggests occupations that are mentally, socially, and physically demanding may promote brain health and delay cognitive impairment (Lee et al., 2024). However, t</w:t>
      </w:r>
      <w:r w:rsidRPr="007D7557">
        <w:rPr>
          <w:rFonts w:ascii="Times New Roman" w:eastAsia="Times New Roman" w:hAnsi="Times New Roman" w:cs="Times New Roman"/>
          <w:sz w:val="24"/>
          <w:szCs w:val="24"/>
        </w:rPr>
        <w:t xml:space="preserve">he labor market continues to be racially stratified, reflecting how power is socially constructed and unequally distributed, with women, and racial and ethnic minorities possessing little power and concentrated in jobs that are likely to jeopardize health (Fujishiro et al., 2022). </w:t>
      </w:r>
      <w:r w:rsidR="00F91C64" w:rsidRPr="007D7557">
        <w:rPr>
          <w:rFonts w:ascii="Times New Roman" w:eastAsia="Times New Roman" w:hAnsi="Times New Roman" w:cs="Times New Roman"/>
          <w:sz w:val="24"/>
          <w:szCs w:val="24"/>
        </w:rPr>
        <w:t>T</w:t>
      </w:r>
      <w:r w:rsidRPr="007D7557">
        <w:rPr>
          <w:rFonts w:ascii="Times New Roman" w:eastAsia="Times New Roman" w:hAnsi="Times New Roman" w:cs="Times New Roman"/>
          <w:sz w:val="24"/>
          <w:szCs w:val="24"/>
        </w:rPr>
        <w:t xml:space="preserve">his area of research has mixed results when gender, race, and ethnicity are carefully examined (Gonzales et al., 2022). There is accumulating evidence that women and minoritized older workers do not gain the same cognitive health benefits relative to White men. Work is not equally rewarding: pay inequities, measured in salary, wages, or through retirement benefits, job quality variations, and discrimination persist across gender, race, and ethnicity. Older adults who retire earlier than planned often do so because of their own health conditions or those of their family, which may necessitate caregiving. Occupational demands that are misaligned with the employee’s capacity and restructuring of organizations may also accelerate retirement for those most at risk of financial insecurity in later life. A consensus report by the National Academies of Sciences (2022) concluded that older adults who are able to delay retirement are generally more educated, wealthier, and healthier. Women, racial and ethnic minorities were often unable to work longer, partially due to disadvantages experienced earlier in life, such as limited educational opportunities; health shocks to themselves or those that necessitated family caregiving; as well as ageism and its intersection with other forms of bias throughout the recruitment, promotion, and retention phase of work. Notable research gaps include examining the workplace context – norms, policies and practices that may be effective at promoting health and the choice to work longer, and moving the research focus from basic research to interventions that can test causal mechanisms regarding the effects of work on health and timing of retirement. Recognizing employment as a social determinant of health and addressing intersectionality-informed </w:t>
      </w:r>
      <w:r w:rsidRPr="007D7557">
        <w:rPr>
          <w:rFonts w:ascii="Times New Roman" w:eastAsia="Times New Roman" w:hAnsi="Times New Roman" w:cs="Times New Roman"/>
          <w:sz w:val="24"/>
          <w:szCs w:val="24"/>
        </w:rPr>
        <w:lastRenderedPageBreak/>
        <w:t>workplace disparities through improved workplace interventions and policies could expand access to the benefits of extended work life across diverse populations.</w:t>
      </w:r>
    </w:p>
    <w:p w14:paraId="0000001B" w14:textId="0885CD90" w:rsidR="0018618B" w:rsidRPr="007D7557" w:rsidRDefault="00001F30">
      <w:pPr>
        <w:jc w:val="center"/>
        <w:rPr>
          <w:rFonts w:ascii="Times New Roman" w:eastAsia="Times New Roman" w:hAnsi="Times New Roman" w:cs="Times New Roman"/>
          <w:b/>
          <w:sz w:val="24"/>
          <w:szCs w:val="24"/>
        </w:rPr>
      </w:pPr>
      <w:r w:rsidRPr="007D7557">
        <w:rPr>
          <w:rFonts w:ascii="Times New Roman" w:eastAsia="Times New Roman" w:hAnsi="Times New Roman" w:cs="Times New Roman"/>
          <w:b/>
          <w:sz w:val="24"/>
          <w:szCs w:val="24"/>
        </w:rPr>
        <w:t>Volunteering Bolsters Health and Strengthens Social Ties</w:t>
      </w:r>
    </w:p>
    <w:p w14:paraId="0000001C" w14:textId="6FAD2365" w:rsidR="0018618B" w:rsidRPr="007D7557" w:rsidRDefault="00001F30">
      <w:pPr>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Older adults give their time to society in a myriad of ways. Often, they are tutors and mentors to younger generations in schools and their communities. Some take on administrative and managerial tasks in libraries, places of worship, hospitals and other nonprofit organizations. More than 20.7 million older adults contributed 3.3 billion hours of service in 2015, which was valued at approximately $75 billion of economic contribution according to a federal agency, The Corporation for National and Community Service (AmeriCorps, 2015). In 2023, approximately 28% of older adults aged 55+ volunteered for an organization (AmeriCorps, n.d.) and about 62% of older adults also helped neighbors and friends, otherwise known as informal volunteering (AmeriCorps, n.d.). Representative datasets consistently reveal inequitable volunteer rates by gender, race, ethnicity, and education. However, the racial profile of older adults serving with AmeriCorps is more diverse than that found with nationally representative datasets (AmeriCorps, n.d.), suggesting that federal agencies are able to recruit and retain diverse populations into civil service. Experimental and quasi-experimental research has yielded win-win outcomes. Formal and informal volunteering in later life was positively associated with self-report health, cognitive functioning, physical strength and balance, and fewer depressive symptoms (Morrow-Howell, 2010; </w:t>
      </w:r>
      <w:r w:rsidR="00637BCE">
        <w:rPr>
          <w:rFonts w:ascii="Times New Roman" w:eastAsia="Times New Roman" w:hAnsi="Times New Roman" w:cs="Times New Roman"/>
          <w:sz w:val="24"/>
          <w:szCs w:val="24"/>
        </w:rPr>
        <w:t xml:space="preserve">Perry et al., 2018; </w:t>
      </w:r>
      <w:r w:rsidRPr="007D7557">
        <w:rPr>
          <w:rFonts w:ascii="Times New Roman" w:eastAsia="Times New Roman" w:hAnsi="Times New Roman" w:cs="Times New Roman"/>
          <w:sz w:val="24"/>
          <w:szCs w:val="24"/>
        </w:rPr>
        <w:t>Whetung &amp; Gonzales, 2025). Formal and informal volunteering among retirees also increases the likelihood of them returning to the labor force, that is, unretiring (Gonzales &amp; Nowell, 2016). It is theorized that helping an organization or neighbors expands weak social ties and, when combined with</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maintained (if not improved) health, can pull</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older retirees back to the workplace within two to four years of</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retirement. Children who are tutored and mentored by an older volunteer also benefit, mostly with higher academic achievement and socioemotional learning (AARP, n.d.). The rewards of volunteering also spillover to the neighborhood and family with older tutors sharing their skills with neighboring children. The family reports they are less worried about mom and dad because of their volunteer activity.</w:t>
      </w:r>
    </w:p>
    <w:p w14:paraId="0000001D" w14:textId="4FD6B0D4" w:rsidR="0018618B" w:rsidRPr="007D7557" w:rsidRDefault="004059ED">
      <w:pPr>
        <w:jc w:val="center"/>
        <w:rPr>
          <w:rFonts w:ascii="Times New Roman" w:eastAsia="Times New Roman" w:hAnsi="Times New Roman" w:cs="Times New Roman"/>
          <w:b/>
          <w:sz w:val="24"/>
          <w:szCs w:val="24"/>
        </w:rPr>
      </w:pPr>
      <w:r w:rsidRPr="007D7557">
        <w:rPr>
          <w:rFonts w:ascii="Times New Roman" w:eastAsia="Times New Roman" w:hAnsi="Times New Roman" w:cs="Times New Roman"/>
          <w:b/>
          <w:sz w:val="24"/>
          <w:szCs w:val="24"/>
        </w:rPr>
        <w:t>Family Caregivers are Younger, More Diverse, and Often Working</w:t>
      </w:r>
    </w:p>
    <w:p w14:paraId="0000001E" w14:textId="02B705BF" w:rsidR="0018618B" w:rsidRPr="007D7557" w:rsidRDefault="00001F30">
      <w:pPr>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Health inequities at the population level necessitate family caregiving at the micro level. </w:t>
      </w:r>
      <w:r w:rsidR="00945512" w:rsidRPr="007D7557">
        <w:rPr>
          <w:rFonts w:ascii="Times New Roman" w:eastAsia="Times New Roman" w:hAnsi="Times New Roman" w:cs="Times New Roman"/>
          <w:sz w:val="24"/>
          <w:szCs w:val="24"/>
        </w:rPr>
        <w:t xml:space="preserve">Today, family caregivers are generally younger than in the past, often working and providing care at the same time. </w:t>
      </w:r>
      <w:r w:rsidRPr="007D7557">
        <w:rPr>
          <w:rFonts w:ascii="Times New Roman" w:eastAsia="Times New Roman" w:hAnsi="Times New Roman" w:cs="Times New Roman"/>
          <w:sz w:val="24"/>
          <w:szCs w:val="24"/>
        </w:rPr>
        <w:t xml:space="preserve">Family caregiving increased from 20 million adults in 2015 to 63 million adults in 2025 in the United States, which means 1 in 4 adults are at times providing complex and demanding care, often in isolation (AARP, 2025). Although the majority of family caregiving goes unpaid, it is valued at $600 billion per year (Reinhard &amp; Houser, 2023). The Administration for Community Living defines family caregiving as individuals who provide a broad range of assistance to people with chronic or disabling conditions – which often include activities of daily living such as feeding, toileting, and bathing. Given the prevalence of family caregiving, nearly every race, ethnicity, and income bracket are impacted. Racial and ethnic minorities constitute a larger share of these caregivers than in the past. Black, Hispanic/Latino, Asian American, Native Hawaiian and Pacific Islander, American Indian and Alaska Native, and LGBTQ family caregivers and care recipients report distinct care experiences and needs for culturally </w:t>
      </w:r>
      <w:r w:rsidRPr="007D7557">
        <w:rPr>
          <w:rFonts w:ascii="Times New Roman" w:eastAsia="Times New Roman" w:hAnsi="Times New Roman" w:cs="Times New Roman"/>
          <w:sz w:val="24"/>
          <w:szCs w:val="24"/>
        </w:rPr>
        <w:lastRenderedPageBreak/>
        <w:t>appropriate care shaped by</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historical marginalization (Reinhard &amp; Houser, 2023). Family caregiving is dynamic and complex, given care recipients’ and providers’ changing health, fluctuating</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work-family demands, and inconsistent formal support. While family caregiving can result in purpose in life, personal satisfaction and fulfillment, and even, at times, promote longevity (</w:t>
      </w:r>
      <w:proofErr w:type="spellStart"/>
      <w:r w:rsidRPr="007D7557">
        <w:rPr>
          <w:rFonts w:ascii="Times New Roman" w:eastAsia="Times New Roman" w:hAnsi="Times New Roman" w:cs="Times New Roman"/>
          <w:sz w:val="24"/>
          <w:szCs w:val="24"/>
        </w:rPr>
        <w:t>Bhattachayya</w:t>
      </w:r>
      <w:proofErr w:type="spellEnd"/>
      <w:r w:rsidRPr="007D7557">
        <w:rPr>
          <w:rFonts w:ascii="Times New Roman" w:eastAsia="Times New Roman" w:hAnsi="Times New Roman" w:cs="Times New Roman"/>
          <w:sz w:val="24"/>
          <w:szCs w:val="24"/>
        </w:rPr>
        <w:t xml:space="preserve"> et al., 2024; </w:t>
      </w:r>
      <w:proofErr w:type="spellStart"/>
      <w:r w:rsidRPr="007D7557">
        <w:rPr>
          <w:rFonts w:ascii="Times New Roman" w:eastAsia="Times New Roman" w:hAnsi="Times New Roman" w:cs="Times New Roman"/>
          <w:sz w:val="24"/>
          <w:szCs w:val="24"/>
        </w:rPr>
        <w:t>Fredman</w:t>
      </w:r>
      <w:proofErr w:type="spellEnd"/>
      <w:r w:rsidRPr="007D7557">
        <w:rPr>
          <w:rFonts w:ascii="Times New Roman" w:eastAsia="Times New Roman" w:hAnsi="Times New Roman" w:cs="Times New Roman"/>
          <w:sz w:val="24"/>
          <w:szCs w:val="24"/>
        </w:rPr>
        <w:t xml:space="preserve"> et al., 2015), it can also compromise health with increased social isolation, strained</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family relationships , heightened stress and burnout, and physical risks from</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tasks such as lifting or assisting</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 xml:space="preserve">loved ones with limited mobility (Bom et al., 2019). Family caregiving </w:t>
      </w:r>
      <w:r w:rsidR="004059ED" w:rsidRPr="007D7557">
        <w:rPr>
          <w:rFonts w:ascii="Times New Roman" w:eastAsia="Times New Roman" w:hAnsi="Times New Roman" w:cs="Times New Roman"/>
          <w:sz w:val="24"/>
          <w:szCs w:val="24"/>
        </w:rPr>
        <w:t xml:space="preserve">often </w:t>
      </w:r>
      <w:r w:rsidRPr="007D7557">
        <w:rPr>
          <w:rFonts w:ascii="Times New Roman" w:eastAsia="Times New Roman" w:hAnsi="Times New Roman" w:cs="Times New Roman"/>
          <w:sz w:val="24"/>
          <w:szCs w:val="24"/>
        </w:rPr>
        <w:t>lead</w:t>
      </w:r>
      <w:r w:rsidR="004059ED" w:rsidRPr="007D7557">
        <w:rPr>
          <w:rFonts w:ascii="Times New Roman" w:eastAsia="Times New Roman" w:hAnsi="Times New Roman" w:cs="Times New Roman"/>
          <w:sz w:val="24"/>
          <w:szCs w:val="24"/>
        </w:rPr>
        <w:t>s</w:t>
      </w:r>
      <w:r w:rsidRPr="007D7557">
        <w:rPr>
          <w:rFonts w:ascii="Times New Roman" w:eastAsia="Times New Roman" w:hAnsi="Times New Roman" w:cs="Times New Roman"/>
          <w:sz w:val="24"/>
          <w:szCs w:val="24"/>
        </w:rPr>
        <w:t xml:space="preserve"> to lost wages,</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career interruptions, and out-of- pocket expenses, which</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reduces caregivers’ capacity to save and invest for their own retirement. As a result of these suppressed lifetime earnings</w:t>
      </w:r>
      <w:r w:rsidR="00945512" w:rsidRPr="007D7557">
        <w:rPr>
          <w:rFonts w:ascii="Times New Roman" w:eastAsia="Times New Roman" w:hAnsi="Times New Roman" w:cs="Times New Roman"/>
          <w:sz w:val="24"/>
          <w:szCs w:val="24"/>
        </w:rPr>
        <w:t xml:space="preserve"> in early and midlife</w:t>
      </w:r>
      <w:r w:rsidRPr="007D7557">
        <w:rPr>
          <w:rFonts w:ascii="Times New Roman" w:eastAsia="Times New Roman" w:hAnsi="Times New Roman" w:cs="Times New Roman"/>
          <w:sz w:val="24"/>
          <w:szCs w:val="24"/>
        </w:rPr>
        <w:t>, many</w:t>
      </w:r>
      <w:r w:rsidR="004059ED"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ultimately receive less from Social Security when they retire</w:t>
      </w:r>
      <w:r w:rsidR="00945512" w:rsidRPr="007D7557">
        <w:rPr>
          <w:rFonts w:ascii="Times New Roman" w:eastAsia="Times New Roman" w:hAnsi="Times New Roman" w:cs="Times New Roman"/>
          <w:sz w:val="24"/>
          <w:szCs w:val="24"/>
        </w:rPr>
        <w:t xml:space="preserve"> in later life</w:t>
      </w:r>
      <w:r w:rsidR="004059ED"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These deleterious outcomes impact women more so than men, especially in later life with fewer economic resources.</w:t>
      </w:r>
    </w:p>
    <w:p w14:paraId="0000001F" w14:textId="77777777" w:rsidR="0018618B" w:rsidRPr="007D7557" w:rsidRDefault="00001F30">
      <w:pPr>
        <w:jc w:val="center"/>
        <w:rPr>
          <w:rFonts w:ascii="Times New Roman" w:eastAsia="Times New Roman" w:hAnsi="Times New Roman" w:cs="Times New Roman"/>
          <w:b/>
          <w:sz w:val="24"/>
          <w:szCs w:val="24"/>
        </w:rPr>
      </w:pPr>
      <w:r w:rsidRPr="007D7557">
        <w:rPr>
          <w:rFonts w:ascii="Times New Roman" w:eastAsia="Times New Roman" w:hAnsi="Times New Roman" w:cs="Times New Roman"/>
          <w:b/>
          <w:sz w:val="24"/>
          <w:szCs w:val="24"/>
        </w:rPr>
        <w:t>Crosscutting Themes:</w:t>
      </w:r>
      <w:r w:rsidRPr="007D7557">
        <w:rPr>
          <w:rFonts w:ascii="Times New Roman" w:eastAsia="Times New Roman" w:hAnsi="Times New Roman" w:cs="Times New Roman"/>
          <w:b/>
          <w:sz w:val="24"/>
          <w:szCs w:val="24"/>
        </w:rPr>
        <w:br/>
        <w:t>Institutional Capacity to Address Cumulative Dis(Advantage) and Intersectionality</w:t>
      </w:r>
    </w:p>
    <w:p w14:paraId="00000020" w14:textId="24B2BDA2" w:rsidR="0018618B" w:rsidRPr="007D7557" w:rsidRDefault="00001F30">
      <w:pPr>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Productive roles are shaped by social policies and institutional capacity to recruit, retain, and optimize older adults’ engagement in work, volunteering, and caregiving. It is within the institutional setting, inclusive of social policies at the federal, state, and local levels, as well as the cultural norms within organizations, that intervention research can address these inequities. Engagement in productive activities is also shaped by cultural expectations. Policymakers and researchers should be mindful that engagement is a choice, an opportunity,</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not something to be mandated or</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added to the already complicated constraints and obligations, especially among marginalized populations that have experienced lifelong disadvantages in education, occupations, civic activities, and family caregiving. Moreover, policymakers and researchers need to keep intergenerational conflict and harmony in mind, as divisive rhetoric can create artificial cleavages in society, resulting in discrimination and prejudice across socially constructed groups, such as young and old, White and non-White.</w:t>
      </w:r>
    </w:p>
    <w:p w14:paraId="00000021" w14:textId="3BDDB373" w:rsidR="0018618B" w:rsidRPr="007D7557" w:rsidRDefault="00001F30">
      <w:pPr>
        <w:rPr>
          <w:rFonts w:ascii="Times New Roman" w:hAnsi="Times New Roman" w:cs="Times New Roman"/>
        </w:rPr>
      </w:pPr>
      <w:r w:rsidRPr="007D7557">
        <w:rPr>
          <w:rFonts w:ascii="Times New Roman" w:eastAsia="Times New Roman" w:hAnsi="Times New Roman" w:cs="Times New Roman"/>
          <w:sz w:val="24"/>
          <w:szCs w:val="24"/>
        </w:rPr>
        <w:t>Research is needed to model the causal mechanisms that drive inequities across the lifespan. Adults at risk of disengagement in later life likely experienced a lifetime of disadvantages. Within the past three decades, there have been a few experimental interventions that demonstrated positive outcomes among participants, young and old</w:t>
      </w:r>
      <w:r w:rsidR="00B044E4"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Experience Corps</w:t>
      </w:r>
      <w:r w:rsidR="00B044E4" w:rsidRPr="007D7557">
        <w:rPr>
          <w:rFonts w:ascii="Times New Roman" w:eastAsia="Times New Roman" w:hAnsi="Times New Roman" w:cs="Times New Roman"/>
          <w:sz w:val="24"/>
          <w:szCs w:val="24"/>
        </w:rPr>
        <w:t xml:space="preserve"> is an exception. Elementary school children in second and third grades </w:t>
      </w:r>
      <w:r w:rsidRPr="007D7557">
        <w:rPr>
          <w:rFonts w:ascii="Times New Roman" w:eastAsia="Times New Roman" w:hAnsi="Times New Roman" w:cs="Times New Roman"/>
          <w:sz w:val="24"/>
          <w:szCs w:val="24"/>
        </w:rPr>
        <w:t>were randomly assigned a</w:t>
      </w:r>
      <w:r w:rsidR="00B044E4" w:rsidRPr="007D7557">
        <w:rPr>
          <w:rFonts w:ascii="Times New Roman" w:eastAsia="Times New Roman" w:hAnsi="Times New Roman" w:cs="Times New Roman"/>
          <w:sz w:val="24"/>
          <w:szCs w:val="24"/>
        </w:rPr>
        <w:t xml:space="preserve">n older </w:t>
      </w:r>
      <w:r w:rsidRPr="007D7557">
        <w:rPr>
          <w:rFonts w:ascii="Times New Roman" w:eastAsia="Times New Roman" w:hAnsi="Times New Roman" w:cs="Times New Roman"/>
          <w:sz w:val="24"/>
          <w:szCs w:val="24"/>
        </w:rPr>
        <w:t>tutor</w:t>
      </w:r>
      <w:r w:rsidR="00B044E4" w:rsidRPr="007D7557">
        <w:rPr>
          <w:rFonts w:ascii="Times New Roman" w:eastAsia="Times New Roman" w:hAnsi="Times New Roman" w:cs="Times New Roman"/>
          <w:sz w:val="24"/>
          <w:szCs w:val="24"/>
        </w:rPr>
        <w:t xml:space="preserve">. Experimental and quasi-experimental research demonstrated children who were matched with an older tutor showed improvements in socioemotional health and academic achievement. Brain plasticity, cognitive health, reduction in depression, and improvements in physical health were noted among older tutors. These results were achieved in spite of </w:t>
      </w:r>
      <w:r w:rsidR="00416709" w:rsidRPr="007D7557">
        <w:rPr>
          <w:rFonts w:ascii="Times New Roman" w:eastAsia="Times New Roman" w:hAnsi="Times New Roman" w:cs="Times New Roman"/>
          <w:sz w:val="24"/>
          <w:szCs w:val="24"/>
        </w:rPr>
        <w:t xml:space="preserve">these </w:t>
      </w:r>
      <w:r w:rsidR="00B044E4" w:rsidRPr="007D7557">
        <w:rPr>
          <w:rFonts w:ascii="Times New Roman" w:eastAsia="Times New Roman" w:hAnsi="Times New Roman" w:cs="Times New Roman"/>
          <w:sz w:val="24"/>
          <w:szCs w:val="24"/>
        </w:rPr>
        <w:t xml:space="preserve">schools being under resourced and in low-income communities. Programs like these not only need to be scaled </w:t>
      </w:r>
      <w:r w:rsidR="00416709" w:rsidRPr="007D7557">
        <w:rPr>
          <w:rFonts w:ascii="Times New Roman" w:eastAsia="Times New Roman" w:hAnsi="Times New Roman" w:cs="Times New Roman"/>
          <w:sz w:val="24"/>
          <w:szCs w:val="24"/>
        </w:rPr>
        <w:t xml:space="preserve">but we also need to follow these children and older adults as they age to determine long term effects. </w:t>
      </w:r>
      <w:r w:rsidRPr="007D7557">
        <w:rPr>
          <w:rFonts w:ascii="Times New Roman" w:eastAsia="Times New Roman" w:hAnsi="Times New Roman" w:cs="Times New Roman"/>
          <w:sz w:val="24"/>
          <w:szCs w:val="24"/>
        </w:rPr>
        <w:t xml:space="preserve">Collecting data on them can provide scientific insights into resilience and the institutional arrangements that narrowed, or widened, health inequities. Nationally representative data exists, such as the Health and Retirement Study and sister datasets, funded by the National Institute on Aging and Social Security Administration, that </w:t>
      </w:r>
      <w:r w:rsidRPr="007D7557">
        <w:rPr>
          <w:rFonts w:ascii="Times New Roman" w:eastAsia="Times New Roman" w:hAnsi="Times New Roman" w:cs="Times New Roman"/>
          <w:sz w:val="24"/>
          <w:szCs w:val="24"/>
        </w:rPr>
        <w:lastRenderedPageBreak/>
        <w:t xml:space="preserve">should be exploited for scientific discoveries. The scientific insights to date warrant further support from Congress. Notably, there are major research gaps. The preponderance of the scientific base constitutes basic research, which is important, but more interventions, especially experimental research, is needed to determine the causal mechanisms that bolster health within workplaces, civic organizations, and the interaction between family and social structures. Research that teases out cohort effects also has promise, so that we can capture individual agency and structural constraints. </w:t>
      </w:r>
    </w:p>
    <w:p w14:paraId="00000022" w14:textId="41A56F99" w:rsidR="0018618B" w:rsidRPr="007D7557" w:rsidRDefault="00001F30">
      <w:pPr>
        <w:spacing w:before="240" w:after="24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Older adults’ experiences of (dis)advantages differ based on race, gender, socioeconomic status, explicit physical features, immigration history, and other social identities. As a prevalent source of discrimination for older adults, ageism often intersects with other systems of oppression, such as racism, ableism, and classism (Wang et al., 2025), creating compounded disadvantages that shape opportunities for productive engagement and their associated outcomes. Future research should take intersectional approaches to understand how multiple, interlocking identities influence productive involvement through leveraging longitudinal datasets and primary data collection.</w:t>
      </w:r>
      <w:r w:rsidR="006A558E"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sz w:val="24"/>
          <w:szCs w:val="24"/>
        </w:rPr>
        <w:t>Researchers should also prioritize experimental interventions, like expanding programs such as Experience Corps, to test causal mechanisms that reduce health and social inequities while promoting inclusive engagement. Policymakers need to integrate intersectional frameworks to develop interventions that simultaneously address age-based prejudice and the intersecting structural inequities that magnify its effects on older adults’ access to productive roles like work and volunteering.</w:t>
      </w:r>
    </w:p>
    <w:p w14:paraId="5957B72E" w14:textId="77777777" w:rsidR="00416709" w:rsidRPr="007D7557" w:rsidRDefault="00416709" w:rsidP="00416709">
      <w:pPr>
        <w:jc w:val="center"/>
        <w:rPr>
          <w:rFonts w:ascii="Times New Roman" w:eastAsia="Times New Roman" w:hAnsi="Times New Roman" w:cs="Times New Roman"/>
          <w:b/>
          <w:bCs/>
          <w:sz w:val="24"/>
          <w:szCs w:val="24"/>
        </w:rPr>
      </w:pPr>
      <w:r w:rsidRPr="007D7557">
        <w:rPr>
          <w:rFonts w:ascii="Times New Roman" w:eastAsia="Times New Roman" w:hAnsi="Times New Roman" w:cs="Times New Roman"/>
          <w:b/>
          <w:bCs/>
          <w:sz w:val="24"/>
          <w:szCs w:val="24"/>
        </w:rPr>
        <w:t>Conclusion</w:t>
      </w:r>
    </w:p>
    <w:p w14:paraId="2C62C29B" w14:textId="79192CE4" w:rsidR="00416709" w:rsidRPr="007D7557" w:rsidRDefault="00001F30">
      <w:pPr>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Understanding exactly how work, volunteering, and caregiving improve health will take time, but many marginalized communities have urgent needs and significant strengths that additional investment can augment. Concurrent with the expansion of existing </w:t>
      </w:r>
      <w:r w:rsidR="00B044E4" w:rsidRPr="007D7557">
        <w:rPr>
          <w:rFonts w:ascii="Times New Roman" w:eastAsia="Times New Roman" w:hAnsi="Times New Roman" w:cs="Times New Roman"/>
          <w:sz w:val="24"/>
          <w:szCs w:val="24"/>
        </w:rPr>
        <w:t xml:space="preserve">national </w:t>
      </w:r>
      <w:r w:rsidRPr="007D7557">
        <w:rPr>
          <w:rFonts w:ascii="Times New Roman" w:eastAsia="Times New Roman" w:hAnsi="Times New Roman" w:cs="Times New Roman"/>
          <w:sz w:val="24"/>
          <w:szCs w:val="24"/>
        </w:rPr>
        <w:t>programs like Experience Corps</w:t>
      </w:r>
      <w:r w:rsidR="007008BD" w:rsidRPr="007D7557">
        <w:rPr>
          <w:rFonts w:ascii="Times New Roman" w:eastAsia="Times New Roman" w:hAnsi="Times New Roman" w:cs="Times New Roman"/>
          <w:sz w:val="24"/>
          <w:szCs w:val="24"/>
        </w:rPr>
        <w:t xml:space="preserve"> with AARP</w:t>
      </w:r>
      <w:r w:rsidRPr="007D7557">
        <w:rPr>
          <w:rFonts w:ascii="Times New Roman" w:eastAsia="Times New Roman" w:hAnsi="Times New Roman" w:cs="Times New Roman"/>
          <w:sz w:val="24"/>
          <w:szCs w:val="24"/>
        </w:rPr>
        <w:t xml:space="preserve">, we must also create opportunities for communities to grow local programs that are already working. For example, Indigenous communities in the United States are diverse in ecology, age, health, wealth, culture, and history. To imagine a one-size-fits all approach to intervention represents a fundamental misunderstanding of these communities and overlooks existing local initiatives that may already be creating stimulating jobs, opportunities for volunteering, and support for caregivers, but lack the rigorous evidence base large funding opportunities require. Policies that create flexible funding for local programs, especially in under-resourced communities, may be an effective strategy for increasing access to productive activities at all ages. Such strategies are not unheard of at the federal level. The Social Innovation Fund, a federal grant program created in 2009 and administered by the Corporation for National and Community Service, was designed to identify non-profit organizations around the country with potential for significant social impact and growth. Funds from this program not only helped to scale community-based organizations, but it also funded evaluations of their work to help future program refinement and expansion. Similar programs, perhaps on a smaller scale, could be leveraged to directly support existing community-driven programs and help them develop the evidence and infrastructure to achieve sustainability. In order to create community capacity to </w:t>
      </w:r>
      <w:r w:rsidRPr="007D7557">
        <w:rPr>
          <w:rFonts w:ascii="Times New Roman" w:eastAsia="Times New Roman" w:hAnsi="Times New Roman" w:cs="Times New Roman"/>
          <w:sz w:val="24"/>
          <w:szCs w:val="24"/>
        </w:rPr>
        <w:lastRenderedPageBreak/>
        <w:t xml:space="preserve">support productive activities, we must be willing to invest in the development of local programs alongside the expansion of federal ones. </w:t>
      </w:r>
    </w:p>
    <w:p w14:paraId="458A0623" w14:textId="5973127F" w:rsidR="0000662D" w:rsidRPr="007D7557" w:rsidRDefault="0000662D" w:rsidP="0000662D">
      <w:pPr>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The United States stands to learn from policies abroad. Providing all citizens in Singapore, for example, with educational credits and subsidies for lifelong learning and upskilling as a way to maintain their market relevance. Sweden links pension benefits directly to lifetime contributions and life expectancy, which will likely incentivize working longer. Japan revised their mandatory retirement age to 70 or companies must implement a continuous employment system that keeps older workers on the payroll through re-employment contracts. Germany allows for a combination of drawing a partial pension while continuing to work, with incentives that ensure the additional earnings lead to higher future pension payments, which could encourage phased retirement. </w:t>
      </w:r>
    </w:p>
    <w:p w14:paraId="6E88DD57" w14:textId="40D3652C" w:rsidR="00416709" w:rsidRPr="007D7557" w:rsidRDefault="00001F30">
      <w:pPr>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The United States is undergoing tremendous social policy changes, reducing institutional capacity across the federal, state, and local levels, as well as within the not for profit sector. The current Trump Administration is fundamentally shifting responsibility onto individuals and families for their own well-being. Budgetary cuts to Medicaid, SNAP, ACA, The Senior Community Service Employment Program, AmeriCorps, all represent a </w:t>
      </w:r>
      <w:r w:rsidR="00416709" w:rsidRPr="007D7557">
        <w:rPr>
          <w:rFonts w:ascii="Times New Roman" w:eastAsia="Times New Roman" w:hAnsi="Times New Roman" w:cs="Times New Roman"/>
          <w:sz w:val="24"/>
          <w:szCs w:val="24"/>
        </w:rPr>
        <w:t xml:space="preserve">reduction </w:t>
      </w:r>
      <w:r w:rsidRPr="007D7557">
        <w:rPr>
          <w:rFonts w:ascii="Times New Roman" w:eastAsia="Times New Roman" w:hAnsi="Times New Roman" w:cs="Times New Roman"/>
          <w:sz w:val="24"/>
          <w:szCs w:val="24"/>
        </w:rPr>
        <w:t xml:space="preserve">of institutional capacity for older adults to be recruited, retained, and trained into work and volunteer roles. </w:t>
      </w:r>
      <w:r w:rsidR="0000662D" w:rsidRPr="007D7557">
        <w:rPr>
          <w:rFonts w:ascii="Times New Roman" w:eastAsia="Times New Roman" w:hAnsi="Times New Roman" w:cs="Times New Roman"/>
          <w:sz w:val="24"/>
          <w:szCs w:val="24"/>
        </w:rPr>
        <w:t xml:space="preserve">The long term effects of defunding the Department of Education will be revealed in the decades to come. </w:t>
      </w:r>
      <w:r w:rsidRPr="007D7557">
        <w:rPr>
          <w:rFonts w:ascii="Times New Roman" w:eastAsia="Times New Roman" w:hAnsi="Times New Roman" w:cs="Times New Roman"/>
          <w:sz w:val="24"/>
          <w:szCs w:val="24"/>
        </w:rPr>
        <w:t xml:space="preserve">Given </w:t>
      </w:r>
      <w:r w:rsidR="0000662D" w:rsidRPr="007D7557">
        <w:rPr>
          <w:rFonts w:ascii="Times New Roman" w:eastAsia="Times New Roman" w:hAnsi="Times New Roman" w:cs="Times New Roman"/>
          <w:sz w:val="24"/>
          <w:szCs w:val="24"/>
        </w:rPr>
        <w:t xml:space="preserve">additional </w:t>
      </w:r>
      <w:r w:rsidRPr="007D7557">
        <w:rPr>
          <w:rFonts w:ascii="Times New Roman" w:eastAsia="Times New Roman" w:hAnsi="Times New Roman" w:cs="Times New Roman"/>
          <w:sz w:val="24"/>
          <w:szCs w:val="24"/>
        </w:rPr>
        <w:t xml:space="preserve">policy changes to healthcare and food support will ultimately undermine the health and well-being of the most vulnerable, which will likely further suppress the capacity of the older adult population to contribute to society through productive activities. It is important scientists continue to monitor population datasets and augment findings with primary data collection to fully characterize how these policy changes have impacted population health, health equity, and productive activities. Recent federal legislation </w:t>
      </w:r>
      <w:r w:rsidR="00416709" w:rsidRPr="007D7557">
        <w:rPr>
          <w:rFonts w:ascii="Times New Roman" w:eastAsia="Times New Roman" w:hAnsi="Times New Roman" w:cs="Times New Roman"/>
          <w:sz w:val="24"/>
          <w:szCs w:val="24"/>
        </w:rPr>
        <w:t>has accelerated</w:t>
      </w:r>
      <w:r w:rsidRPr="007D7557">
        <w:rPr>
          <w:rFonts w:ascii="Times New Roman" w:eastAsia="Times New Roman" w:hAnsi="Times New Roman" w:cs="Times New Roman"/>
          <w:sz w:val="24"/>
          <w:szCs w:val="24"/>
        </w:rPr>
        <w:t xml:space="preserve"> the depletion of Social Security Trust Funds, moving the critical year from 2034 to 2031. Between now and then, we will need rigorous research to help inform social policy, employers, and individuals on how to work longer, while also juggling caregiving responsibilities, and possibly substituting these roles with volunteering to maintain health and social ties.</w:t>
      </w:r>
    </w:p>
    <w:p w14:paraId="00000024" w14:textId="77777777" w:rsidR="0018618B" w:rsidRPr="007D7557" w:rsidRDefault="00001F30">
      <w:pPr>
        <w:rPr>
          <w:rFonts w:ascii="Times New Roman" w:eastAsia="Times New Roman" w:hAnsi="Times New Roman" w:cs="Times New Roman"/>
          <w:b/>
          <w:sz w:val="24"/>
          <w:szCs w:val="24"/>
        </w:rPr>
      </w:pPr>
      <w:r w:rsidRPr="007D7557">
        <w:rPr>
          <w:rFonts w:ascii="Times New Roman" w:hAnsi="Times New Roman" w:cs="Times New Roman"/>
        </w:rPr>
        <w:br w:type="page"/>
      </w:r>
    </w:p>
    <w:p w14:paraId="00000025" w14:textId="4264169A" w:rsidR="0018618B" w:rsidRPr="007D7557" w:rsidRDefault="00001F30">
      <w:pPr>
        <w:jc w:val="center"/>
        <w:rPr>
          <w:rFonts w:ascii="Times New Roman" w:eastAsia="Times New Roman" w:hAnsi="Times New Roman" w:cs="Times New Roman"/>
          <w:b/>
          <w:sz w:val="24"/>
          <w:szCs w:val="24"/>
        </w:rPr>
      </w:pPr>
      <w:r w:rsidRPr="007D7557">
        <w:rPr>
          <w:rFonts w:ascii="Times New Roman" w:eastAsia="Times New Roman" w:hAnsi="Times New Roman" w:cs="Times New Roman"/>
          <w:b/>
          <w:sz w:val="24"/>
          <w:szCs w:val="24"/>
        </w:rPr>
        <w:lastRenderedPageBreak/>
        <w:t>References</w:t>
      </w:r>
    </w:p>
    <w:p w14:paraId="0ED0E840" w14:textId="3F1A4E02" w:rsidR="007A18BD" w:rsidRPr="007D7557" w:rsidRDefault="007A18BD">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AARP (2025). New Report Reveals Crisis Point for America’s 63 Million Family Caregivers. Retrieved from </w:t>
      </w:r>
      <w:hyperlink r:id="rId12" w:history="1">
        <w:r w:rsidR="00956FCB" w:rsidRPr="001028CD">
          <w:rPr>
            <w:rStyle w:val="Hyperlink"/>
            <w:rFonts w:ascii="Times New Roman" w:eastAsia="Times New Roman" w:hAnsi="Times New Roman" w:cs="Times New Roman"/>
            <w:sz w:val="24"/>
            <w:szCs w:val="24"/>
          </w:rPr>
          <w:t>www.aarp.org</w:t>
        </w:r>
      </w:hyperlink>
      <w:r w:rsidRPr="007D7557">
        <w:rPr>
          <w:rFonts w:ascii="Times New Roman" w:eastAsia="Times New Roman" w:hAnsi="Times New Roman" w:cs="Times New Roman"/>
          <w:sz w:val="24"/>
          <w:szCs w:val="24"/>
        </w:rPr>
        <w:t xml:space="preserve">. </w:t>
      </w:r>
    </w:p>
    <w:p w14:paraId="00000026" w14:textId="5723ADD7" w:rsidR="0018618B" w:rsidRPr="007D7557" w:rsidRDefault="00001F30">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AARP (2022). AARP Report finds that older population makes significant and growing contributions to the global economy. Retrieved from </w:t>
      </w:r>
      <w:hyperlink r:id="rId13">
        <w:r w:rsidRPr="007D7557">
          <w:rPr>
            <w:rFonts w:ascii="Times New Roman" w:eastAsia="Times New Roman" w:hAnsi="Times New Roman" w:cs="Times New Roman"/>
            <w:color w:val="0563C1"/>
            <w:sz w:val="24"/>
            <w:szCs w:val="24"/>
            <w:u w:val="single"/>
          </w:rPr>
          <w:t>www.aarp.org</w:t>
        </w:r>
      </w:hyperlink>
      <w:r w:rsidRPr="007D7557">
        <w:rPr>
          <w:rFonts w:ascii="Times New Roman" w:eastAsia="Times New Roman" w:hAnsi="Times New Roman" w:cs="Times New Roman"/>
          <w:sz w:val="24"/>
          <w:szCs w:val="24"/>
        </w:rPr>
        <w:t xml:space="preserve">. </w:t>
      </w:r>
    </w:p>
    <w:p w14:paraId="00000027" w14:textId="77777777" w:rsidR="0018618B" w:rsidRPr="007D7557" w:rsidRDefault="00001F30">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AARP (n.d.). Experience Corps Research Studies. Retrieved from </w:t>
      </w:r>
      <w:hyperlink r:id="rId14">
        <w:r w:rsidRPr="007D7557">
          <w:rPr>
            <w:rFonts w:ascii="Times New Roman" w:eastAsia="Times New Roman" w:hAnsi="Times New Roman" w:cs="Times New Roman"/>
            <w:color w:val="0563C1"/>
            <w:sz w:val="24"/>
            <w:szCs w:val="24"/>
            <w:u w:val="single"/>
          </w:rPr>
          <w:t>www.aarp.org</w:t>
        </w:r>
      </w:hyperlink>
      <w:r w:rsidRPr="007D7557">
        <w:rPr>
          <w:rFonts w:ascii="Times New Roman" w:eastAsia="Times New Roman" w:hAnsi="Times New Roman" w:cs="Times New Roman"/>
          <w:sz w:val="24"/>
          <w:szCs w:val="24"/>
        </w:rPr>
        <w:t xml:space="preserve">. </w:t>
      </w:r>
    </w:p>
    <w:p w14:paraId="00000028" w14:textId="77777777" w:rsidR="0018618B" w:rsidRPr="007D7557" w:rsidRDefault="00001F30">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AmeriCorps (2015). Value of Volunteers to the U.S. Economy Estimated at $75 billion. Retrieved from </w:t>
      </w:r>
      <w:hyperlink r:id="rId15">
        <w:r w:rsidRPr="007D7557">
          <w:rPr>
            <w:rFonts w:ascii="Times New Roman" w:eastAsia="Times New Roman" w:hAnsi="Times New Roman" w:cs="Times New Roman"/>
            <w:color w:val="0563C1"/>
            <w:sz w:val="24"/>
            <w:szCs w:val="24"/>
            <w:u w:val="single"/>
          </w:rPr>
          <w:t>www.americorps.gov</w:t>
        </w:r>
      </w:hyperlink>
      <w:r w:rsidRPr="007D7557">
        <w:rPr>
          <w:rFonts w:ascii="Times New Roman" w:eastAsia="Times New Roman" w:hAnsi="Times New Roman" w:cs="Times New Roman"/>
          <w:sz w:val="24"/>
          <w:szCs w:val="24"/>
        </w:rPr>
        <w:t xml:space="preserve">. </w:t>
      </w:r>
    </w:p>
    <w:p w14:paraId="00000029" w14:textId="77777777" w:rsidR="0018618B" w:rsidRPr="007D7557" w:rsidRDefault="00001F30">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AmeriCorps (n.d.). Demographics. Retrieved from </w:t>
      </w:r>
      <w:hyperlink r:id="rId16">
        <w:r w:rsidRPr="007D7557">
          <w:rPr>
            <w:rFonts w:ascii="Times New Roman" w:eastAsia="Times New Roman" w:hAnsi="Times New Roman" w:cs="Times New Roman"/>
            <w:color w:val="0563C1"/>
            <w:sz w:val="24"/>
            <w:szCs w:val="24"/>
            <w:u w:val="single"/>
          </w:rPr>
          <w:t>www.americorps.gov</w:t>
        </w:r>
      </w:hyperlink>
      <w:r w:rsidRPr="007D7557">
        <w:rPr>
          <w:rFonts w:ascii="Times New Roman" w:eastAsia="Times New Roman" w:hAnsi="Times New Roman" w:cs="Times New Roman"/>
          <w:sz w:val="24"/>
          <w:szCs w:val="24"/>
        </w:rPr>
        <w:t xml:space="preserve">. </w:t>
      </w:r>
    </w:p>
    <w:p w14:paraId="0000002B" w14:textId="7B40DF40" w:rsidR="0018618B" w:rsidRPr="007D7557" w:rsidRDefault="00001F30">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Bom, J., </w:t>
      </w:r>
      <w:proofErr w:type="spellStart"/>
      <w:r w:rsidRPr="007D7557">
        <w:rPr>
          <w:rFonts w:ascii="Times New Roman" w:eastAsia="Times New Roman" w:hAnsi="Times New Roman" w:cs="Times New Roman"/>
          <w:sz w:val="24"/>
          <w:szCs w:val="24"/>
        </w:rPr>
        <w:t>Bakx</w:t>
      </w:r>
      <w:proofErr w:type="spellEnd"/>
      <w:r w:rsidRPr="007D7557">
        <w:rPr>
          <w:rFonts w:ascii="Times New Roman" w:eastAsia="Times New Roman" w:hAnsi="Times New Roman" w:cs="Times New Roman"/>
          <w:sz w:val="24"/>
          <w:szCs w:val="24"/>
        </w:rPr>
        <w:t xml:space="preserve">, P., </w:t>
      </w:r>
      <w:proofErr w:type="spellStart"/>
      <w:r w:rsidRPr="007D7557">
        <w:rPr>
          <w:rFonts w:ascii="Times New Roman" w:eastAsia="Times New Roman" w:hAnsi="Times New Roman" w:cs="Times New Roman"/>
          <w:sz w:val="24"/>
          <w:szCs w:val="24"/>
        </w:rPr>
        <w:t>Schut</w:t>
      </w:r>
      <w:proofErr w:type="spellEnd"/>
      <w:r w:rsidRPr="007D7557">
        <w:rPr>
          <w:rFonts w:ascii="Times New Roman" w:eastAsia="Times New Roman" w:hAnsi="Times New Roman" w:cs="Times New Roman"/>
          <w:sz w:val="24"/>
          <w:szCs w:val="24"/>
        </w:rPr>
        <w:t xml:space="preserve">, F., &amp; van </w:t>
      </w:r>
      <w:proofErr w:type="spellStart"/>
      <w:r w:rsidRPr="007D7557">
        <w:rPr>
          <w:rFonts w:ascii="Times New Roman" w:eastAsia="Times New Roman" w:hAnsi="Times New Roman" w:cs="Times New Roman"/>
          <w:sz w:val="24"/>
          <w:szCs w:val="24"/>
        </w:rPr>
        <w:t>Doorslaer</w:t>
      </w:r>
      <w:proofErr w:type="spellEnd"/>
      <w:r w:rsidRPr="007D7557">
        <w:rPr>
          <w:rFonts w:ascii="Times New Roman" w:eastAsia="Times New Roman" w:hAnsi="Times New Roman" w:cs="Times New Roman"/>
          <w:sz w:val="24"/>
          <w:szCs w:val="24"/>
        </w:rPr>
        <w:t xml:space="preserve">, E. (2019). The Impact of Informal Caregiving for Older Adults on the Health of Various Types of Caregivers: A Systematic Review. </w:t>
      </w:r>
      <w:r w:rsidRPr="007D7557">
        <w:rPr>
          <w:rFonts w:ascii="Times New Roman" w:eastAsia="Times New Roman" w:hAnsi="Times New Roman" w:cs="Times New Roman"/>
          <w:i/>
          <w:sz w:val="24"/>
          <w:szCs w:val="24"/>
        </w:rPr>
        <w:t>The Gerontologist</w:t>
      </w:r>
      <w:r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i/>
          <w:sz w:val="24"/>
          <w:szCs w:val="24"/>
        </w:rPr>
        <w:t>59</w:t>
      </w:r>
      <w:r w:rsidRPr="007D7557">
        <w:rPr>
          <w:rFonts w:ascii="Times New Roman" w:eastAsia="Times New Roman" w:hAnsi="Times New Roman" w:cs="Times New Roman"/>
          <w:sz w:val="24"/>
          <w:szCs w:val="24"/>
        </w:rPr>
        <w:t xml:space="preserve">(5), e629–e642. </w:t>
      </w:r>
      <w:hyperlink r:id="rId17">
        <w:r w:rsidRPr="007D7557">
          <w:rPr>
            <w:rFonts w:ascii="Times New Roman" w:eastAsia="Times New Roman" w:hAnsi="Times New Roman" w:cs="Times New Roman"/>
            <w:color w:val="0563C1"/>
            <w:sz w:val="24"/>
            <w:szCs w:val="24"/>
            <w:u w:val="single"/>
          </w:rPr>
          <w:t>https://doi.org/10.1093/geront/gny137</w:t>
        </w:r>
      </w:hyperlink>
    </w:p>
    <w:p w14:paraId="0000002C" w14:textId="77777777" w:rsidR="0018618B" w:rsidRPr="007D7557" w:rsidRDefault="00001F30">
      <w:pPr>
        <w:ind w:left="720" w:hanging="720"/>
        <w:rPr>
          <w:rFonts w:ascii="Times New Roman" w:eastAsia="Times New Roman" w:hAnsi="Times New Roman" w:cs="Times New Roman"/>
          <w:sz w:val="24"/>
          <w:szCs w:val="24"/>
        </w:rPr>
      </w:pPr>
      <w:proofErr w:type="spellStart"/>
      <w:r w:rsidRPr="007D7557">
        <w:rPr>
          <w:rFonts w:ascii="Times New Roman" w:eastAsia="Times New Roman" w:hAnsi="Times New Roman" w:cs="Times New Roman"/>
          <w:sz w:val="24"/>
          <w:szCs w:val="24"/>
        </w:rPr>
        <w:t>Fredman</w:t>
      </w:r>
      <w:proofErr w:type="spellEnd"/>
      <w:r w:rsidRPr="007D7557">
        <w:rPr>
          <w:rFonts w:ascii="Times New Roman" w:eastAsia="Times New Roman" w:hAnsi="Times New Roman" w:cs="Times New Roman"/>
          <w:sz w:val="24"/>
          <w:szCs w:val="24"/>
        </w:rPr>
        <w:t xml:space="preserve">, L., Lyons, J. G., </w:t>
      </w:r>
      <w:proofErr w:type="spellStart"/>
      <w:r w:rsidRPr="007D7557">
        <w:rPr>
          <w:rFonts w:ascii="Times New Roman" w:eastAsia="Times New Roman" w:hAnsi="Times New Roman" w:cs="Times New Roman"/>
          <w:sz w:val="24"/>
          <w:szCs w:val="24"/>
        </w:rPr>
        <w:t>Cauley</w:t>
      </w:r>
      <w:proofErr w:type="spellEnd"/>
      <w:r w:rsidRPr="007D7557">
        <w:rPr>
          <w:rFonts w:ascii="Times New Roman" w:eastAsia="Times New Roman" w:hAnsi="Times New Roman" w:cs="Times New Roman"/>
          <w:sz w:val="24"/>
          <w:szCs w:val="24"/>
        </w:rPr>
        <w:t xml:space="preserve">, J. A., Hochberg, M., &amp; Applebaum, K. M. (2015). The relationship between caregiving and mortality after accounting for time-varying caregiver status and addressing the healthy caregiver hypothesis. </w:t>
      </w:r>
      <w:r w:rsidRPr="007D7557">
        <w:rPr>
          <w:rFonts w:ascii="Times New Roman" w:eastAsia="Times New Roman" w:hAnsi="Times New Roman" w:cs="Times New Roman"/>
          <w:i/>
          <w:sz w:val="24"/>
          <w:szCs w:val="24"/>
        </w:rPr>
        <w:t>Journals of Gerontology Series A: Biomedical Sciences and Medical Sciences</w:t>
      </w:r>
      <w:r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i/>
          <w:sz w:val="24"/>
          <w:szCs w:val="24"/>
        </w:rPr>
        <w:t>70</w:t>
      </w:r>
      <w:r w:rsidRPr="007D7557">
        <w:rPr>
          <w:rFonts w:ascii="Times New Roman" w:eastAsia="Times New Roman" w:hAnsi="Times New Roman" w:cs="Times New Roman"/>
          <w:sz w:val="24"/>
          <w:szCs w:val="24"/>
        </w:rPr>
        <w:t>(9), 1163-1168.</w:t>
      </w:r>
    </w:p>
    <w:p w14:paraId="0000002D" w14:textId="77777777" w:rsidR="0018618B" w:rsidRPr="007D7557" w:rsidRDefault="00001F30">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Fujishiro, K., Ahonen, E. Q., &amp; Winkler, M. (2022). Investigating employment quality for population health and health equity: a perspective of power. </w:t>
      </w:r>
      <w:r w:rsidRPr="007D7557">
        <w:rPr>
          <w:rFonts w:ascii="Times New Roman" w:eastAsia="Times New Roman" w:hAnsi="Times New Roman" w:cs="Times New Roman"/>
          <w:i/>
          <w:sz w:val="24"/>
          <w:szCs w:val="24"/>
        </w:rPr>
        <w:t>International Journal of Environmental Research and Public Health</w:t>
      </w:r>
      <w:r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i/>
          <w:sz w:val="24"/>
          <w:szCs w:val="24"/>
        </w:rPr>
        <w:t>19</w:t>
      </w:r>
      <w:r w:rsidRPr="007D7557">
        <w:rPr>
          <w:rFonts w:ascii="Times New Roman" w:eastAsia="Times New Roman" w:hAnsi="Times New Roman" w:cs="Times New Roman"/>
          <w:sz w:val="24"/>
          <w:szCs w:val="24"/>
        </w:rPr>
        <w:t>(16), 9991.</w:t>
      </w:r>
    </w:p>
    <w:p w14:paraId="0000002E" w14:textId="77777777" w:rsidR="0018618B" w:rsidRPr="007D7557" w:rsidRDefault="00001F30">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Gonzales E, Whetung C, Lee YJ, &amp; Kruchten R. (2022). Work Demands and Cognitive Health Inequities by Race and Ethnicity: A Scoping Review. </w:t>
      </w:r>
      <w:r w:rsidRPr="007D7557">
        <w:rPr>
          <w:rFonts w:ascii="Times New Roman" w:eastAsia="Times New Roman" w:hAnsi="Times New Roman" w:cs="Times New Roman"/>
          <w:i/>
          <w:sz w:val="24"/>
          <w:szCs w:val="24"/>
        </w:rPr>
        <w:t>The Gerontologist</w:t>
      </w:r>
      <w:r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i/>
          <w:sz w:val="24"/>
          <w:szCs w:val="24"/>
        </w:rPr>
        <w:t>26</w:t>
      </w:r>
      <w:r w:rsidRPr="007D7557">
        <w:rPr>
          <w:rFonts w:ascii="Times New Roman" w:eastAsia="Times New Roman" w:hAnsi="Times New Roman" w:cs="Times New Roman"/>
          <w:sz w:val="24"/>
          <w:szCs w:val="24"/>
        </w:rPr>
        <w:t>;62(5):e282-e292. doi: 10.1093/</w:t>
      </w:r>
      <w:proofErr w:type="spellStart"/>
      <w:r w:rsidRPr="007D7557">
        <w:rPr>
          <w:rFonts w:ascii="Times New Roman" w:eastAsia="Times New Roman" w:hAnsi="Times New Roman" w:cs="Times New Roman"/>
          <w:sz w:val="24"/>
          <w:szCs w:val="24"/>
        </w:rPr>
        <w:t>geront</w:t>
      </w:r>
      <w:proofErr w:type="spellEnd"/>
      <w:r w:rsidRPr="007D7557">
        <w:rPr>
          <w:rFonts w:ascii="Times New Roman" w:eastAsia="Times New Roman" w:hAnsi="Times New Roman" w:cs="Times New Roman"/>
          <w:sz w:val="24"/>
          <w:szCs w:val="24"/>
        </w:rPr>
        <w:t>/gnac025. PMID: 35183065.</w:t>
      </w:r>
    </w:p>
    <w:p w14:paraId="00000030" w14:textId="77777777" w:rsidR="0018618B" w:rsidRPr="007D7557" w:rsidRDefault="00001F30">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Lee, Y. J., Gonzales, E., Wu, Y., Braun, K. L., Martin, P., Willcox, B., &amp; Andel, R. (2024). The association between activities and cognitive health: Stratified analysis by </w:t>
      </w:r>
      <w:r w:rsidRPr="007D7557">
        <w:rPr>
          <w:rFonts w:ascii="Times New Roman" w:eastAsia="Times New Roman" w:hAnsi="Times New Roman" w:cs="Times New Roman"/>
          <w:i/>
          <w:sz w:val="24"/>
          <w:szCs w:val="24"/>
        </w:rPr>
        <w:t>APOE</w:t>
      </w:r>
      <w:r w:rsidRPr="007D7557">
        <w:rPr>
          <w:rFonts w:ascii="Times New Roman" w:eastAsia="Times New Roman" w:hAnsi="Times New Roman" w:cs="Times New Roman"/>
          <w:sz w:val="24"/>
          <w:szCs w:val="24"/>
        </w:rPr>
        <w:t xml:space="preserve"> ε4 status. </w:t>
      </w:r>
      <w:r w:rsidRPr="007D7557">
        <w:rPr>
          <w:rFonts w:ascii="Times New Roman" w:eastAsia="Times New Roman" w:hAnsi="Times New Roman" w:cs="Times New Roman"/>
          <w:i/>
          <w:sz w:val="24"/>
          <w:szCs w:val="24"/>
        </w:rPr>
        <w:t>Journal of Alzheimer's disease reports</w:t>
      </w:r>
      <w:r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i/>
          <w:sz w:val="24"/>
          <w:szCs w:val="24"/>
        </w:rPr>
        <w:t>8</w:t>
      </w:r>
      <w:r w:rsidRPr="007D7557">
        <w:rPr>
          <w:rFonts w:ascii="Times New Roman" w:eastAsia="Times New Roman" w:hAnsi="Times New Roman" w:cs="Times New Roman"/>
          <w:sz w:val="24"/>
          <w:szCs w:val="24"/>
        </w:rPr>
        <w:t xml:space="preserve">(1), 1502–1515. </w:t>
      </w:r>
      <w:hyperlink r:id="rId18">
        <w:r w:rsidRPr="007D7557">
          <w:rPr>
            <w:rFonts w:ascii="Times New Roman" w:eastAsia="Times New Roman" w:hAnsi="Times New Roman" w:cs="Times New Roman"/>
            <w:color w:val="0563C1"/>
            <w:sz w:val="24"/>
            <w:szCs w:val="24"/>
            <w:u w:val="single"/>
          </w:rPr>
          <w:t>https://doi.org/10.1177/25424823241290528</w:t>
        </w:r>
      </w:hyperlink>
    </w:p>
    <w:p w14:paraId="00000031" w14:textId="77777777" w:rsidR="0018618B" w:rsidRPr="007D7557" w:rsidRDefault="00001F30">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Morrow-Howell N. (2010). Volunteering in later life: research frontiers. </w:t>
      </w:r>
      <w:r w:rsidRPr="007D7557">
        <w:rPr>
          <w:rFonts w:ascii="Times New Roman" w:eastAsia="Times New Roman" w:hAnsi="Times New Roman" w:cs="Times New Roman"/>
          <w:i/>
          <w:sz w:val="24"/>
          <w:szCs w:val="24"/>
        </w:rPr>
        <w:t>The journals of gerontology. Series B, Psychological sciences and social sciences</w:t>
      </w:r>
      <w:r w:rsidRPr="007D7557">
        <w:rPr>
          <w:rFonts w:ascii="Times New Roman" w:eastAsia="Times New Roman" w:hAnsi="Times New Roman" w:cs="Times New Roman"/>
          <w:sz w:val="24"/>
          <w:szCs w:val="24"/>
        </w:rPr>
        <w:t xml:space="preserve">, </w:t>
      </w:r>
      <w:r w:rsidRPr="007D7557">
        <w:rPr>
          <w:rFonts w:ascii="Times New Roman" w:eastAsia="Times New Roman" w:hAnsi="Times New Roman" w:cs="Times New Roman"/>
          <w:i/>
          <w:sz w:val="24"/>
          <w:szCs w:val="24"/>
        </w:rPr>
        <w:t>65</w:t>
      </w:r>
      <w:r w:rsidRPr="007D7557">
        <w:rPr>
          <w:rFonts w:ascii="Times New Roman" w:eastAsia="Times New Roman" w:hAnsi="Times New Roman" w:cs="Times New Roman"/>
          <w:sz w:val="24"/>
          <w:szCs w:val="24"/>
        </w:rPr>
        <w:t>(4), 461–469. https://doi.org/10.1093/geronb/gbq024</w:t>
      </w:r>
    </w:p>
    <w:p w14:paraId="00000032" w14:textId="77777777" w:rsidR="0018618B" w:rsidRPr="007D7557" w:rsidRDefault="00001F30">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National Academies of Sciences, Engineering, and Medicine, Fiske, S., Aguila, E., Berg, P. B., Borsch-Supan, A., Coile, C. C., Gonzales, E., James, J. B., Moen, P., Neumark, D., Wang, M., Becker, T., Ghitelman, M., &amp; Majmundar, K. M. (2022). </w:t>
      </w:r>
      <w:r w:rsidRPr="007D7557">
        <w:rPr>
          <w:rFonts w:ascii="Times New Roman" w:eastAsia="Times New Roman" w:hAnsi="Times New Roman" w:cs="Times New Roman"/>
          <w:i/>
          <w:sz w:val="24"/>
          <w:szCs w:val="24"/>
        </w:rPr>
        <w:t>Understanding the Aging Workforce: Defining a Research Agenda</w:t>
      </w:r>
      <w:r w:rsidRPr="007D7557">
        <w:rPr>
          <w:rFonts w:ascii="Times New Roman" w:eastAsia="Times New Roman" w:hAnsi="Times New Roman" w:cs="Times New Roman"/>
          <w:sz w:val="24"/>
          <w:szCs w:val="24"/>
        </w:rPr>
        <w:t>. Washington, DC: The National Academies Press.</w:t>
      </w:r>
      <w:hyperlink r:id="rId19">
        <w:r w:rsidRPr="007D7557">
          <w:rPr>
            <w:rFonts w:ascii="Times New Roman" w:eastAsia="Times New Roman" w:hAnsi="Times New Roman" w:cs="Times New Roman"/>
            <w:sz w:val="24"/>
            <w:szCs w:val="24"/>
          </w:rPr>
          <w:t xml:space="preserve"> https://doi.org/10.17226/26173</w:t>
        </w:r>
      </w:hyperlink>
      <w:r w:rsidRPr="007D7557">
        <w:rPr>
          <w:rFonts w:ascii="Times New Roman" w:eastAsia="Times New Roman" w:hAnsi="Times New Roman" w:cs="Times New Roman"/>
          <w:sz w:val="24"/>
          <w:szCs w:val="24"/>
        </w:rPr>
        <w:t>.</w:t>
      </w:r>
      <w:hyperlink r:id="rId20">
        <w:r w:rsidRPr="007D7557">
          <w:rPr>
            <w:rFonts w:ascii="Times New Roman" w:eastAsia="Times New Roman" w:hAnsi="Times New Roman" w:cs="Times New Roman"/>
            <w:sz w:val="24"/>
            <w:szCs w:val="24"/>
          </w:rPr>
          <w:t xml:space="preserve"> http://www.ncbi.nlm.nih.gov/books/NBK588541/</w:t>
        </w:r>
      </w:hyperlink>
    </w:p>
    <w:p w14:paraId="00000033" w14:textId="77777777" w:rsidR="0018618B" w:rsidRPr="007D7557" w:rsidRDefault="00001F30">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lastRenderedPageBreak/>
        <w:t xml:space="preserve">Reinhard, S.C., &amp; Houser, A. (2023). Valuing the invaluable 2023 update: Strengthening supports for family caregivers. </w:t>
      </w:r>
    </w:p>
    <w:p w14:paraId="2AAB7D1C" w14:textId="26FC051A" w:rsidR="00FA4C67" w:rsidRDefault="00FA4C67">
      <w:pPr>
        <w:ind w:left="720" w:hanging="720"/>
        <w:rPr>
          <w:rFonts w:ascii="Times New Roman" w:hAnsi="Times New Roman" w:cs="Times New Roman"/>
          <w:iCs/>
          <w:sz w:val="24"/>
          <w:szCs w:val="24"/>
          <w:shd w:val="clear" w:color="auto" w:fill="FFFFFF"/>
        </w:rPr>
      </w:pPr>
      <w:r w:rsidRPr="00E16C76">
        <w:rPr>
          <w:rFonts w:ascii="Times New Roman" w:hAnsi="Times New Roman" w:cs="Times New Roman"/>
          <w:sz w:val="24"/>
          <w:szCs w:val="24"/>
        </w:rPr>
        <w:t xml:space="preserve">Perry, T. E., Shen, H. W., &amp; </w:t>
      </w:r>
      <w:r w:rsidRPr="00FA4C67">
        <w:rPr>
          <w:rFonts w:ascii="Times New Roman" w:hAnsi="Times New Roman" w:cs="Times New Roman"/>
          <w:bCs/>
          <w:sz w:val="24"/>
          <w:szCs w:val="24"/>
        </w:rPr>
        <w:t>Gonzales</w:t>
      </w:r>
      <w:r w:rsidRPr="00E16C76">
        <w:rPr>
          <w:rFonts w:ascii="Times New Roman" w:hAnsi="Times New Roman" w:cs="Times New Roman"/>
          <w:sz w:val="24"/>
          <w:szCs w:val="24"/>
        </w:rPr>
        <w:t xml:space="preserve">, E. (2018). </w:t>
      </w:r>
      <w:r w:rsidRPr="00FA4C67">
        <w:rPr>
          <w:rFonts w:ascii="Times New Roman" w:hAnsi="Times New Roman" w:cs="Times New Roman"/>
          <w:sz w:val="24"/>
          <w:szCs w:val="24"/>
        </w:rPr>
        <w:t>Further Investigations of the Social and Material Convoy: Exploring Relationships between Race, Volunteering, and Relocation</w:t>
      </w:r>
      <w:r w:rsidRPr="00E16C76">
        <w:rPr>
          <w:rFonts w:ascii="Times New Roman" w:hAnsi="Times New Roman" w:cs="Times New Roman"/>
          <w:sz w:val="24"/>
          <w:szCs w:val="24"/>
        </w:rPr>
        <w:t xml:space="preserve">. </w:t>
      </w:r>
      <w:r w:rsidRPr="00E16C76">
        <w:rPr>
          <w:rFonts w:ascii="Times New Roman" w:hAnsi="Times New Roman" w:cs="Times New Roman"/>
          <w:i/>
          <w:sz w:val="24"/>
          <w:szCs w:val="24"/>
        </w:rPr>
        <w:t>Social Work Research, 42</w:t>
      </w:r>
      <w:r w:rsidRPr="00E16C76">
        <w:rPr>
          <w:rFonts w:ascii="Times New Roman" w:hAnsi="Times New Roman" w:cs="Times New Roman"/>
          <w:iCs/>
          <w:sz w:val="24"/>
          <w:szCs w:val="24"/>
        </w:rPr>
        <w:t>(4), 290-301</w:t>
      </w:r>
      <w:r w:rsidRPr="00E16C76">
        <w:rPr>
          <w:rFonts w:ascii="Times New Roman" w:hAnsi="Times New Roman" w:cs="Times New Roman"/>
          <w:sz w:val="24"/>
          <w:szCs w:val="24"/>
        </w:rPr>
        <w:t xml:space="preserve">. </w:t>
      </w:r>
      <w:r w:rsidRPr="00FA4C67">
        <w:rPr>
          <w:rFonts w:ascii="Times New Roman" w:hAnsi="Times New Roman" w:cs="Times New Roman"/>
          <w:sz w:val="24"/>
          <w:szCs w:val="24"/>
        </w:rPr>
        <w:t>DOI: 10.1093/</w:t>
      </w:r>
      <w:proofErr w:type="spellStart"/>
      <w:r w:rsidRPr="00FA4C67">
        <w:rPr>
          <w:rFonts w:ascii="Times New Roman" w:hAnsi="Times New Roman" w:cs="Times New Roman"/>
          <w:sz w:val="24"/>
          <w:szCs w:val="24"/>
        </w:rPr>
        <w:t>swr</w:t>
      </w:r>
      <w:proofErr w:type="spellEnd"/>
      <w:r w:rsidRPr="00FA4C67">
        <w:rPr>
          <w:rFonts w:ascii="Times New Roman" w:hAnsi="Times New Roman" w:cs="Times New Roman"/>
          <w:sz w:val="24"/>
          <w:szCs w:val="24"/>
        </w:rPr>
        <w:t>/svy024</w:t>
      </w:r>
      <w:r w:rsidRPr="00E16C76">
        <w:rPr>
          <w:rFonts w:ascii="Times New Roman" w:hAnsi="Times New Roman" w:cs="Times New Roman"/>
          <w:iCs/>
          <w:sz w:val="24"/>
          <w:szCs w:val="24"/>
          <w:shd w:val="clear" w:color="auto" w:fill="FFFFFF"/>
        </w:rPr>
        <w:t>.</w:t>
      </w:r>
    </w:p>
    <w:p w14:paraId="00000034" w14:textId="77379712" w:rsidR="0018618B" w:rsidRPr="007D7557" w:rsidRDefault="00001F30">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U.S. Bureau of Labor Statistics (2024). More than 11 million people volunteered on an average day in 2022. Retrieved from </w:t>
      </w:r>
      <w:hyperlink r:id="rId21">
        <w:r w:rsidRPr="007D7557">
          <w:rPr>
            <w:rFonts w:ascii="Times New Roman" w:eastAsia="Times New Roman" w:hAnsi="Times New Roman" w:cs="Times New Roman"/>
            <w:color w:val="0563C1"/>
            <w:sz w:val="24"/>
            <w:szCs w:val="24"/>
            <w:u w:val="single"/>
          </w:rPr>
          <w:t>www.bls.gov</w:t>
        </w:r>
      </w:hyperlink>
      <w:r w:rsidRPr="007D7557">
        <w:rPr>
          <w:rFonts w:ascii="Times New Roman" w:eastAsia="Times New Roman" w:hAnsi="Times New Roman" w:cs="Times New Roman"/>
          <w:sz w:val="24"/>
          <w:szCs w:val="24"/>
        </w:rPr>
        <w:t xml:space="preserve">. </w:t>
      </w:r>
    </w:p>
    <w:p w14:paraId="24886FEE" w14:textId="4DB9A104" w:rsidR="00963CE5" w:rsidRPr="007D7557" w:rsidRDefault="006D2FBC" w:rsidP="00963CE5">
      <w:pPr>
        <w:ind w:left="720" w:hanging="720"/>
        <w:rPr>
          <w:rFonts w:ascii="Times New Roman" w:eastAsia="Times New Roman" w:hAnsi="Times New Roman" w:cs="Times New Roman"/>
          <w:sz w:val="24"/>
          <w:szCs w:val="24"/>
        </w:rPr>
      </w:pPr>
      <w:sdt>
        <w:sdtPr>
          <w:rPr>
            <w:rFonts w:ascii="Times New Roman" w:hAnsi="Times New Roman" w:cs="Times New Roman"/>
          </w:rPr>
          <w:tag w:val="goog_rdk_1"/>
          <w:id w:val="-1695583058"/>
        </w:sdtPr>
        <w:sdtEndPr/>
        <w:sdtContent>
          <w:r w:rsidR="00001F30" w:rsidRPr="007D7557">
            <w:rPr>
              <w:rFonts w:ascii="Times New Roman" w:eastAsia="Times New Roman" w:hAnsi="Times New Roman" w:cs="Times New Roman"/>
              <w:sz w:val="24"/>
              <w:szCs w:val="24"/>
            </w:rPr>
            <w:t xml:space="preserve">Wang, Y., Wong, R., Amano, T., &amp; Shen, H-W (2022). Associations between volunteering and cognitive impairment: The moderating role of race/ethnicity. </w:t>
          </w:r>
          <w:r w:rsidR="00001F30" w:rsidRPr="007D7557">
            <w:rPr>
              <w:rFonts w:ascii="Times New Roman" w:eastAsia="Times New Roman" w:hAnsi="Times New Roman" w:cs="Times New Roman"/>
              <w:i/>
              <w:sz w:val="24"/>
              <w:szCs w:val="24"/>
            </w:rPr>
            <w:t>Health &amp; Social Care in the Community</w:t>
          </w:r>
          <w:r w:rsidR="00001F30" w:rsidRPr="007D7557">
            <w:rPr>
              <w:rFonts w:ascii="Times New Roman" w:eastAsia="Times New Roman" w:hAnsi="Times New Roman" w:cs="Times New Roman"/>
              <w:sz w:val="24"/>
              <w:szCs w:val="24"/>
            </w:rPr>
            <w:t>, 30, e4433–e4441.</w:t>
          </w:r>
          <w:hyperlink r:id="rId22">
            <w:r w:rsidR="00001F30" w:rsidRPr="007D7557">
              <w:rPr>
                <w:rFonts w:ascii="Times New Roman" w:eastAsia="Times New Roman" w:hAnsi="Times New Roman" w:cs="Times New Roman"/>
                <w:sz w:val="24"/>
                <w:szCs w:val="24"/>
              </w:rPr>
              <w:t xml:space="preserve"> </w:t>
            </w:r>
          </w:hyperlink>
          <w:hyperlink r:id="rId23">
            <w:r w:rsidR="00001F30" w:rsidRPr="007D7557">
              <w:rPr>
                <w:rFonts w:ascii="Times New Roman" w:eastAsia="Times New Roman" w:hAnsi="Times New Roman" w:cs="Times New Roman"/>
                <w:sz w:val="24"/>
                <w:szCs w:val="24"/>
              </w:rPr>
              <w:t>https://doi.org/10.1111/hsc.13847</w:t>
            </w:r>
          </w:hyperlink>
          <w:sdt>
            <w:sdtPr>
              <w:rPr>
                <w:rFonts w:ascii="Times New Roman" w:hAnsi="Times New Roman" w:cs="Times New Roman"/>
              </w:rPr>
              <w:tag w:val="goog_rdk_0"/>
              <w:id w:val="1649988173"/>
            </w:sdtPr>
            <w:sdtEndPr/>
            <w:sdtContent>
              <w:r w:rsidR="007D7557" w:rsidRPr="007D7557">
                <w:rPr>
                  <w:rFonts w:ascii="Times New Roman" w:hAnsi="Times New Roman" w:cs="Times New Roman"/>
                </w:rPr>
                <w:t>.</w:t>
              </w:r>
            </w:sdtContent>
          </w:sdt>
        </w:sdtContent>
      </w:sdt>
    </w:p>
    <w:sdt>
      <w:sdtPr>
        <w:rPr>
          <w:rFonts w:ascii="Times New Roman" w:hAnsi="Times New Roman" w:cs="Times New Roman"/>
        </w:rPr>
        <w:tag w:val="goog_rdk_4"/>
        <w:id w:val="-236521872"/>
      </w:sdtPr>
      <w:sdtEndPr/>
      <w:sdtContent>
        <w:p w14:paraId="1916F910" w14:textId="6562FE60" w:rsidR="00963CE5" w:rsidRPr="007D7557" w:rsidRDefault="006D2FBC" w:rsidP="00963CE5">
          <w:pPr>
            <w:ind w:left="720" w:hanging="720"/>
            <w:rPr>
              <w:rFonts w:ascii="Times New Roman" w:hAnsi="Times New Roman" w:cs="Times New Roman"/>
            </w:rPr>
          </w:pPr>
          <w:sdt>
            <w:sdtPr>
              <w:rPr>
                <w:rFonts w:ascii="Times New Roman" w:hAnsi="Times New Roman" w:cs="Times New Roman"/>
              </w:rPr>
              <w:tag w:val="goog_rdk_2"/>
              <w:id w:val="-1116673532"/>
            </w:sdtPr>
            <w:sdtEndPr/>
            <w:sdtContent>
              <w:r w:rsidR="00963CE5" w:rsidRPr="007D7557">
                <w:rPr>
                  <w:rFonts w:ascii="Times New Roman" w:eastAsia="Times New Roman" w:hAnsi="Times New Roman" w:cs="Times New Roman"/>
                  <w:sz w:val="24"/>
                  <w:szCs w:val="24"/>
                </w:rPr>
                <w:t xml:space="preserve">Whetung, C., &amp; Gonzales, E. (2025). Modifiable factors associated with cognitive health trajectories among Indigenous, Hispanic, Black, and White older adults: an exploratory longitudinal panel analysis of the health and retirement study with a focus on Indigenous peoples. The Lancet Regional Health–Americas, 50. </w:t>
              </w:r>
              <w:hyperlink r:id="rId24" w:history="1">
                <w:sdt>
                  <w:sdtPr>
                    <w:rPr>
                      <w:rFonts w:ascii="Times New Roman" w:hAnsi="Times New Roman" w:cs="Times New Roman"/>
                    </w:rPr>
                    <w:tag w:val="goog_rdk_3"/>
                    <w:id w:val="-1584241483"/>
                  </w:sdtPr>
                  <w:sdtEndPr/>
                  <w:sdtContent>
                    <w:r w:rsidR="00963CE5" w:rsidRPr="007D7557">
                      <w:rPr>
                        <w:rFonts w:ascii="Times New Roman" w:eastAsia="Times New Roman" w:hAnsi="Times New Roman" w:cs="Times New Roman"/>
                        <w:sz w:val="24"/>
                        <w:szCs w:val="24"/>
                      </w:rPr>
                      <w:t>https://doi.org/1</w:t>
                    </w:r>
                  </w:sdtContent>
                </w:sdt>
              </w:hyperlink>
              <w:r w:rsidR="00963CE5" w:rsidRPr="007D7557">
                <w:rPr>
                  <w:rFonts w:ascii="Times New Roman" w:eastAsia="Times New Roman" w:hAnsi="Times New Roman" w:cs="Times New Roman"/>
                  <w:sz w:val="24"/>
                  <w:szCs w:val="24"/>
                </w:rPr>
                <w:t>10.1016/j.lana.2025.101207</w:t>
              </w:r>
              <w:r w:rsidR="007D7557" w:rsidRPr="007D7557">
                <w:rPr>
                  <w:rFonts w:ascii="Times New Roman" w:eastAsia="Times New Roman" w:hAnsi="Times New Roman" w:cs="Times New Roman"/>
                  <w:sz w:val="24"/>
                  <w:szCs w:val="24"/>
                </w:rPr>
                <w:t>.</w:t>
              </w:r>
            </w:sdtContent>
          </w:sdt>
        </w:p>
      </w:sdtContent>
    </w:sdt>
    <w:p w14:paraId="0000003D" w14:textId="002D4622" w:rsidR="0018618B" w:rsidRPr="007D7557" w:rsidRDefault="00001F30" w:rsidP="00E1137C">
      <w:pPr>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Wilkins, M. (2024). Golden years: Older Americans at work and play. </w:t>
      </w:r>
      <w:r w:rsidRPr="007D7557">
        <w:rPr>
          <w:rFonts w:ascii="Times New Roman" w:hAnsi="Times New Roman" w:cs="Times New Roman"/>
          <w:i/>
        </w:rPr>
        <w:t>Beyond the Numbers: Employment &amp; Unemployment</w:t>
      </w:r>
      <w:r w:rsidRPr="007D7557">
        <w:rPr>
          <w:rFonts w:ascii="Times New Roman" w:hAnsi="Times New Roman" w:cs="Times New Roman"/>
        </w:rPr>
        <w:t xml:space="preserve">, vol. 14, no. 5 (U.S. Bureau of Labor Statistics, May 2025), </w:t>
      </w:r>
      <w:hyperlink r:id="rId25">
        <w:r w:rsidRPr="007D7557">
          <w:rPr>
            <w:rFonts w:ascii="Times New Roman" w:hAnsi="Times New Roman" w:cs="Times New Roman"/>
            <w:color w:val="0563C1"/>
            <w:u w:val="single"/>
          </w:rPr>
          <w:t>https://www.bls.gov/opub/btn/volume-14/golden-years-older-americans-at-work-and-play.htm</w:t>
        </w:r>
      </w:hyperlink>
    </w:p>
    <w:sectPr w:rsidR="0018618B" w:rsidRPr="007D7557">
      <w:headerReference w:type="default" r:id="rId26"/>
      <w:foot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DFEE" w14:textId="77777777" w:rsidR="006D2FBC" w:rsidRDefault="006D2FBC">
      <w:pPr>
        <w:spacing w:after="0" w:line="240" w:lineRule="auto"/>
      </w:pPr>
      <w:r>
        <w:separator/>
      </w:r>
    </w:p>
  </w:endnote>
  <w:endnote w:type="continuationSeparator" w:id="0">
    <w:p w14:paraId="7158A1C9" w14:textId="77777777" w:rsidR="006D2FBC" w:rsidRDefault="006D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49E8E59A" w:rsidR="0018618B" w:rsidRDefault="00001F3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64FD8">
      <w:rPr>
        <w:noProof/>
        <w:color w:val="000000"/>
      </w:rPr>
      <w:t>1</w:t>
    </w:r>
    <w:r>
      <w:rPr>
        <w:color w:val="000000"/>
      </w:rPr>
      <w:fldChar w:fldCharType="end"/>
    </w:r>
  </w:p>
  <w:p w14:paraId="0000003F" w14:textId="77777777" w:rsidR="0018618B" w:rsidRDefault="0018618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1A0F4" w14:textId="77777777" w:rsidR="006D2FBC" w:rsidRDefault="006D2FBC">
      <w:pPr>
        <w:spacing w:after="0" w:line="240" w:lineRule="auto"/>
      </w:pPr>
      <w:r>
        <w:separator/>
      </w:r>
    </w:p>
  </w:footnote>
  <w:footnote w:type="continuationSeparator" w:id="0">
    <w:p w14:paraId="4C1E4CD6" w14:textId="77777777" w:rsidR="006D2FBC" w:rsidRDefault="006D2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3581" w14:textId="0088F2A7" w:rsidR="00576800" w:rsidRDefault="007209E3">
    <w:pPr>
      <w:pStyle w:val="Header"/>
    </w:pPr>
    <w:r w:rsidRPr="00576800">
      <w:rPr>
        <w:noProof/>
      </w:rPr>
      <w:drawing>
        <wp:anchor distT="0" distB="0" distL="114300" distR="114300" simplePos="0" relativeHeight="251659264" behindDoc="0" locked="0" layoutInCell="1" hidden="0" allowOverlap="1" wp14:anchorId="28FB6341" wp14:editId="5BD03BCD">
          <wp:simplePos x="0" y="0"/>
          <wp:positionH relativeFrom="column">
            <wp:posOffset>5173689</wp:posOffset>
          </wp:positionH>
          <wp:positionV relativeFrom="paragraph">
            <wp:posOffset>-266700</wp:posOffset>
          </wp:positionV>
          <wp:extent cx="1087755" cy="375920"/>
          <wp:effectExtent l="0" t="0" r="0" b="5080"/>
          <wp:wrapNone/>
          <wp:docPr id="12" name="image2.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clipart&#10;&#10;Description automatically generated"/>
                  <pic:cNvPicPr preferRelativeResize="0"/>
                </pic:nvPicPr>
                <pic:blipFill>
                  <a:blip r:embed="rId1"/>
                  <a:srcRect/>
                  <a:stretch>
                    <a:fillRect/>
                  </a:stretch>
                </pic:blipFill>
                <pic:spPr>
                  <a:xfrm>
                    <a:off x="0" y="0"/>
                    <a:ext cx="1087755" cy="375920"/>
                  </a:xfrm>
                  <a:prstGeom prst="rect">
                    <a:avLst/>
                  </a:prstGeom>
                  <a:ln/>
                </pic:spPr>
              </pic:pic>
            </a:graphicData>
          </a:graphic>
          <wp14:sizeRelH relativeFrom="margin">
            <wp14:pctWidth>0</wp14:pctWidth>
          </wp14:sizeRelH>
          <wp14:sizeRelV relativeFrom="margin">
            <wp14:pctHeight>0</wp14:pctHeight>
          </wp14:sizeRelV>
        </wp:anchor>
      </w:drawing>
    </w:r>
    <w:r w:rsidRPr="00576800">
      <w:rPr>
        <w:noProof/>
      </w:rPr>
      <w:drawing>
        <wp:anchor distT="0" distB="0" distL="114300" distR="114300" simplePos="0" relativeHeight="251660288" behindDoc="0" locked="0" layoutInCell="1" hidden="0" allowOverlap="1" wp14:anchorId="6C354C57" wp14:editId="2218E7B9">
          <wp:simplePos x="0" y="0"/>
          <wp:positionH relativeFrom="column">
            <wp:posOffset>-549619</wp:posOffset>
          </wp:positionH>
          <wp:positionV relativeFrom="paragraph">
            <wp:posOffset>-245110</wp:posOffset>
          </wp:positionV>
          <wp:extent cx="2222500" cy="342900"/>
          <wp:effectExtent l="0" t="0" r="6350" b="0"/>
          <wp:wrapNone/>
          <wp:docPr id="11" name="image4.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Icon&#10;&#10;Description automatically generated"/>
                  <pic:cNvPicPr preferRelativeResize="0"/>
                </pic:nvPicPr>
                <pic:blipFill>
                  <a:blip r:embed="rId2"/>
                  <a:srcRect/>
                  <a:stretch>
                    <a:fillRect/>
                  </a:stretch>
                </pic:blipFill>
                <pic:spPr>
                  <a:xfrm>
                    <a:off x="0" y="0"/>
                    <a:ext cx="2222500" cy="3429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18B"/>
    <w:rsid w:val="00001F30"/>
    <w:rsid w:val="0000662D"/>
    <w:rsid w:val="00086456"/>
    <w:rsid w:val="00124E7F"/>
    <w:rsid w:val="001545BF"/>
    <w:rsid w:val="0018618B"/>
    <w:rsid w:val="00290CB6"/>
    <w:rsid w:val="004059ED"/>
    <w:rsid w:val="00416709"/>
    <w:rsid w:val="004E1B26"/>
    <w:rsid w:val="004F30C8"/>
    <w:rsid w:val="0051727F"/>
    <w:rsid w:val="00576800"/>
    <w:rsid w:val="006354E7"/>
    <w:rsid w:val="00637BCE"/>
    <w:rsid w:val="00656F0F"/>
    <w:rsid w:val="006A558E"/>
    <w:rsid w:val="006D2FBC"/>
    <w:rsid w:val="007008BD"/>
    <w:rsid w:val="007209E3"/>
    <w:rsid w:val="00771584"/>
    <w:rsid w:val="007A18BD"/>
    <w:rsid w:val="007C0704"/>
    <w:rsid w:val="007D7557"/>
    <w:rsid w:val="00800F05"/>
    <w:rsid w:val="00945512"/>
    <w:rsid w:val="00956FCB"/>
    <w:rsid w:val="00963CE5"/>
    <w:rsid w:val="00A13DC5"/>
    <w:rsid w:val="00A26F2F"/>
    <w:rsid w:val="00A30643"/>
    <w:rsid w:val="00B044E4"/>
    <w:rsid w:val="00BC73BF"/>
    <w:rsid w:val="00C32BB8"/>
    <w:rsid w:val="00D25545"/>
    <w:rsid w:val="00D43ECB"/>
    <w:rsid w:val="00D749E6"/>
    <w:rsid w:val="00DC62DC"/>
    <w:rsid w:val="00E1137C"/>
    <w:rsid w:val="00E31463"/>
    <w:rsid w:val="00EB4BF3"/>
    <w:rsid w:val="00F64FD8"/>
    <w:rsid w:val="00F91C64"/>
    <w:rsid w:val="00FA4C67"/>
    <w:rsid w:val="00FB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8E5"/>
  <w15:docId w15:val="{07FAA636-6D96-4B23-9E73-3D294130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42213"/>
    <w:rPr>
      <w:color w:val="0563C1" w:themeColor="hyperlink"/>
      <w:u w:val="single"/>
    </w:rPr>
  </w:style>
  <w:style w:type="character" w:styleId="CommentReference">
    <w:name w:val="annotation reference"/>
    <w:basedOn w:val="DefaultParagraphFont"/>
    <w:uiPriority w:val="99"/>
    <w:semiHidden/>
    <w:unhideWhenUsed/>
    <w:rsid w:val="00634701"/>
    <w:rPr>
      <w:sz w:val="16"/>
      <w:szCs w:val="16"/>
    </w:rPr>
  </w:style>
  <w:style w:type="paragraph" w:styleId="CommentText">
    <w:name w:val="annotation text"/>
    <w:basedOn w:val="Normal"/>
    <w:link w:val="CommentTextChar"/>
    <w:uiPriority w:val="99"/>
    <w:semiHidden/>
    <w:unhideWhenUsed/>
    <w:rsid w:val="00634701"/>
    <w:pPr>
      <w:spacing w:line="240" w:lineRule="auto"/>
    </w:pPr>
    <w:rPr>
      <w:sz w:val="20"/>
      <w:szCs w:val="20"/>
    </w:rPr>
  </w:style>
  <w:style w:type="character" w:customStyle="1" w:styleId="CommentTextChar">
    <w:name w:val="Comment Text Char"/>
    <w:basedOn w:val="DefaultParagraphFont"/>
    <w:link w:val="CommentText"/>
    <w:uiPriority w:val="99"/>
    <w:semiHidden/>
    <w:rsid w:val="00634701"/>
    <w:rPr>
      <w:sz w:val="20"/>
      <w:szCs w:val="20"/>
    </w:rPr>
  </w:style>
  <w:style w:type="paragraph" w:styleId="CommentSubject">
    <w:name w:val="annotation subject"/>
    <w:basedOn w:val="CommentText"/>
    <w:next w:val="CommentText"/>
    <w:link w:val="CommentSubjectChar"/>
    <w:uiPriority w:val="99"/>
    <w:semiHidden/>
    <w:unhideWhenUsed/>
    <w:rsid w:val="00634701"/>
    <w:rPr>
      <w:b/>
      <w:bCs/>
    </w:rPr>
  </w:style>
  <w:style w:type="character" w:customStyle="1" w:styleId="CommentSubjectChar">
    <w:name w:val="Comment Subject Char"/>
    <w:basedOn w:val="CommentTextChar"/>
    <w:link w:val="CommentSubject"/>
    <w:uiPriority w:val="99"/>
    <w:semiHidden/>
    <w:rsid w:val="00634701"/>
    <w:rPr>
      <w:b/>
      <w:bCs/>
      <w:sz w:val="20"/>
      <w:szCs w:val="20"/>
    </w:rPr>
  </w:style>
  <w:style w:type="character" w:styleId="UnresolvedMention">
    <w:name w:val="Unresolved Mention"/>
    <w:basedOn w:val="DefaultParagraphFont"/>
    <w:uiPriority w:val="99"/>
    <w:semiHidden/>
    <w:unhideWhenUsed/>
    <w:rsid w:val="00EE0C14"/>
    <w:rPr>
      <w:color w:val="605E5C"/>
      <w:shd w:val="clear" w:color="auto" w:fill="E1DFDD"/>
    </w:rPr>
  </w:style>
  <w:style w:type="paragraph" w:styleId="Header">
    <w:name w:val="header"/>
    <w:basedOn w:val="Normal"/>
    <w:link w:val="HeaderChar"/>
    <w:uiPriority w:val="99"/>
    <w:unhideWhenUsed/>
    <w:rsid w:val="00C77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DDB"/>
  </w:style>
  <w:style w:type="paragraph" w:styleId="Footer">
    <w:name w:val="footer"/>
    <w:basedOn w:val="Normal"/>
    <w:link w:val="FooterChar"/>
    <w:uiPriority w:val="99"/>
    <w:unhideWhenUsed/>
    <w:rsid w:val="00C77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DDB"/>
  </w:style>
  <w:style w:type="paragraph" w:styleId="Revision">
    <w:name w:val="Revision"/>
    <w:hidden/>
    <w:uiPriority w:val="99"/>
    <w:semiHidden/>
    <w:rsid w:val="00DC79D1"/>
    <w:pPr>
      <w:spacing w:after="0" w:line="240" w:lineRule="auto"/>
    </w:pPr>
  </w:style>
  <w:style w:type="character" w:styleId="HTMLCite">
    <w:name w:val="HTML Cite"/>
    <w:basedOn w:val="DefaultParagraphFont"/>
    <w:uiPriority w:val="99"/>
    <w:semiHidden/>
    <w:unhideWhenUsed/>
    <w:rsid w:val="0077761E"/>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124E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l">
    <w:name w:val="il"/>
    <w:basedOn w:val="DefaultParagraphFont"/>
    <w:rsid w:val="0051727F"/>
  </w:style>
  <w:style w:type="character" w:customStyle="1" w:styleId="msg">
    <w:name w:val="msg"/>
    <w:basedOn w:val="DefaultParagraphFont"/>
    <w:rsid w:val="00656F0F"/>
  </w:style>
  <w:style w:type="character" w:customStyle="1" w:styleId="go">
    <w:name w:val="go"/>
    <w:basedOn w:val="DefaultParagraphFont"/>
    <w:rsid w:val="007209E3"/>
  </w:style>
  <w:style w:type="character" w:styleId="FollowedHyperlink">
    <w:name w:val="FollowedHyperlink"/>
    <w:basedOn w:val="DefaultParagraphFont"/>
    <w:uiPriority w:val="99"/>
    <w:semiHidden/>
    <w:unhideWhenUsed/>
    <w:rsid w:val="00800F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8132">
      <w:bodyDiv w:val="1"/>
      <w:marLeft w:val="0"/>
      <w:marRight w:val="0"/>
      <w:marTop w:val="0"/>
      <w:marBottom w:val="0"/>
      <w:divBdr>
        <w:top w:val="none" w:sz="0" w:space="0" w:color="auto"/>
        <w:left w:val="none" w:sz="0" w:space="0" w:color="auto"/>
        <w:bottom w:val="none" w:sz="0" w:space="0" w:color="auto"/>
        <w:right w:val="none" w:sz="0" w:space="0" w:color="auto"/>
      </w:divBdr>
      <w:divsChild>
        <w:div w:id="1868642862">
          <w:marLeft w:val="0"/>
          <w:marRight w:val="0"/>
          <w:marTop w:val="0"/>
          <w:marBottom w:val="0"/>
          <w:divBdr>
            <w:top w:val="none" w:sz="0" w:space="0" w:color="auto"/>
            <w:left w:val="none" w:sz="0" w:space="0" w:color="auto"/>
            <w:bottom w:val="none" w:sz="0" w:space="0" w:color="auto"/>
            <w:right w:val="none" w:sz="0" w:space="0" w:color="auto"/>
          </w:divBdr>
        </w:div>
      </w:divsChild>
    </w:div>
    <w:div w:id="1699819036">
      <w:bodyDiv w:val="1"/>
      <w:marLeft w:val="0"/>
      <w:marRight w:val="0"/>
      <w:marTop w:val="0"/>
      <w:marBottom w:val="0"/>
      <w:divBdr>
        <w:top w:val="none" w:sz="0" w:space="0" w:color="auto"/>
        <w:left w:val="none" w:sz="0" w:space="0" w:color="auto"/>
        <w:bottom w:val="none" w:sz="0" w:space="0" w:color="auto"/>
        <w:right w:val="none" w:sz="0" w:space="0" w:color="auto"/>
      </w:divBdr>
      <w:divsChild>
        <w:div w:id="20773883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eonjung@hawaii.edu" TargetMode="External"/><Relationship Id="rId13" Type="http://schemas.openxmlformats.org/officeDocument/2006/relationships/hyperlink" Target="http://www.aarp.org" TargetMode="External"/><Relationship Id="rId18" Type="http://schemas.openxmlformats.org/officeDocument/2006/relationships/hyperlink" Target="https://doi.org/10.1177/2542482324129052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bls.gov" TargetMode="External"/><Relationship Id="rId7" Type="http://schemas.openxmlformats.org/officeDocument/2006/relationships/hyperlink" Target="mailto:geg2000@nyu.edu" TargetMode="External"/><Relationship Id="rId12" Type="http://schemas.openxmlformats.org/officeDocument/2006/relationships/hyperlink" Target="http://www.aarp.org" TargetMode="External"/><Relationship Id="rId17" Type="http://schemas.openxmlformats.org/officeDocument/2006/relationships/hyperlink" Target="https://doi.org/10.1093/geront/gny137" TargetMode="External"/><Relationship Id="rId25" Type="http://schemas.openxmlformats.org/officeDocument/2006/relationships/hyperlink" Target="https://www.bls.gov/opub/btn/volume-14/golden-years-older-americans-at-work-and-play.htm" TargetMode="External"/><Relationship Id="rId2" Type="http://schemas.openxmlformats.org/officeDocument/2006/relationships/styles" Target="styles.xml"/><Relationship Id="rId16" Type="http://schemas.openxmlformats.org/officeDocument/2006/relationships/hyperlink" Target="http://www.americorps.gov" TargetMode="External"/><Relationship Id="rId20" Type="http://schemas.openxmlformats.org/officeDocument/2006/relationships/hyperlink" Target="http://www.ncbi.nlm.nih.gov/books/NBK58854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dl.handle.net/2451/75576" TargetMode="External"/><Relationship Id="rId24" Type="http://schemas.openxmlformats.org/officeDocument/2006/relationships/hyperlink" Target="https://doi.org/10.1111/hsc.13847" TargetMode="External"/><Relationship Id="rId5" Type="http://schemas.openxmlformats.org/officeDocument/2006/relationships/footnotes" Target="footnotes.xml"/><Relationship Id="rId15" Type="http://schemas.openxmlformats.org/officeDocument/2006/relationships/hyperlink" Target="http://www.americorps.gov" TargetMode="External"/><Relationship Id="rId23" Type="http://schemas.openxmlformats.org/officeDocument/2006/relationships/hyperlink" Target="https://doi.org/10.1111/hsc.13847" TargetMode="External"/><Relationship Id="rId28" Type="http://schemas.openxmlformats.org/officeDocument/2006/relationships/fontTable" Target="fontTable.xml"/><Relationship Id="rId10" Type="http://schemas.openxmlformats.org/officeDocument/2006/relationships/hyperlink" Target="mailto:yi-wang-5@uiowa.edu" TargetMode="External"/><Relationship Id="rId19" Type="http://schemas.openxmlformats.org/officeDocument/2006/relationships/hyperlink" Target="https://doi.org/10.17226/26173" TargetMode="External"/><Relationship Id="rId4" Type="http://schemas.openxmlformats.org/officeDocument/2006/relationships/webSettings" Target="webSettings.xml"/><Relationship Id="rId9" Type="http://schemas.openxmlformats.org/officeDocument/2006/relationships/hyperlink" Target="mailto:cwhetung@d.umn.edu" TargetMode="External"/><Relationship Id="rId14" Type="http://schemas.openxmlformats.org/officeDocument/2006/relationships/hyperlink" Target="http://www.aarp.org" TargetMode="External"/><Relationship Id="rId22" Type="http://schemas.openxmlformats.org/officeDocument/2006/relationships/hyperlink" Target="https://doi.org/10.1111/hsc.13847"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YoQVVW5n2jAzfE7G7NrbZhK4A==">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3242</Words>
  <Characters>19908</Characters>
  <Application>Microsoft Office Word</Application>
  <DocSecurity>0</DocSecurity>
  <Lines>280</Lines>
  <Paragraphs>52</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Ernest Gonzales</dc:creator>
  <cp:lastModifiedBy>Guillermo Ernest Gonzales</cp:lastModifiedBy>
  <cp:revision>4</cp:revision>
  <dcterms:created xsi:type="dcterms:W3CDTF">2026-02-17T21:28:00Z</dcterms:created>
  <dcterms:modified xsi:type="dcterms:W3CDTF">2026-02-17T21:33:00Z</dcterms:modified>
</cp:coreProperties>
</file>